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2EE69" w14:textId="189045CC" w:rsidR="00306D0D" w:rsidRPr="00AE3765" w:rsidRDefault="00306D0D" w:rsidP="00306D0D">
      <w:pPr>
        <w:jc w:val="right"/>
        <w:rPr>
          <w:b/>
          <w:sz w:val="28"/>
          <w:szCs w:val="28"/>
        </w:rPr>
      </w:pPr>
      <w:r w:rsidRPr="00AE3765">
        <w:rPr>
          <w:b/>
          <w:noProof/>
          <w:sz w:val="28"/>
          <w:szCs w:val="28"/>
        </w:rPr>
        <w:t>ISO/IEC </w:t>
      </w:r>
      <w:r w:rsidR="004B3CFE" w:rsidRPr="004B3CFE">
        <w:rPr>
          <w:b/>
          <w:noProof/>
          <w:sz w:val="28"/>
          <w:szCs w:val="28"/>
        </w:rPr>
        <w:t>23009-1:2025</w:t>
      </w:r>
      <w:r w:rsidRPr="00AE3765">
        <w:rPr>
          <w:b/>
          <w:noProof/>
          <w:sz w:val="28"/>
          <w:szCs w:val="28"/>
        </w:rPr>
        <w:t xml:space="preserve">/AMD </w:t>
      </w:r>
      <w:r w:rsidR="00E64524">
        <w:rPr>
          <w:b/>
          <w:noProof/>
          <w:sz w:val="28"/>
          <w:szCs w:val="28"/>
        </w:rPr>
        <w:t>1</w:t>
      </w:r>
      <w:r w:rsidRPr="00AE3765">
        <w:rPr>
          <w:b/>
          <w:noProof/>
          <w:sz w:val="28"/>
          <w:szCs w:val="28"/>
        </w:rPr>
        <w:t>:20</w:t>
      </w:r>
      <w:r>
        <w:rPr>
          <w:b/>
          <w:noProof/>
          <w:sz w:val="28"/>
          <w:szCs w:val="28"/>
        </w:rPr>
        <w:t>2</w:t>
      </w:r>
      <w:r w:rsidRPr="00AE3765">
        <w:rPr>
          <w:b/>
          <w:noProof/>
          <w:sz w:val="28"/>
          <w:szCs w:val="28"/>
        </w:rPr>
        <w:t>x(E)</w:t>
      </w:r>
    </w:p>
    <w:p w14:paraId="1870FAD4" w14:textId="77777777" w:rsidR="00306D0D" w:rsidRPr="00AE3765" w:rsidRDefault="00306D0D" w:rsidP="00306D0D">
      <w:pPr>
        <w:jc w:val="right"/>
      </w:pPr>
      <w:r w:rsidRPr="00AE3765">
        <w:rPr>
          <w:noProof/>
        </w:rPr>
        <w:t>ISO/IEC J</w:t>
      </w:r>
      <w:r w:rsidRPr="00AE3765">
        <w:t>TC1/SC </w:t>
      </w:r>
      <w:r w:rsidRPr="00AE3765">
        <w:rPr>
          <w:noProof/>
        </w:rPr>
        <w:t>29</w:t>
      </w:r>
    </w:p>
    <w:p w14:paraId="415351D6" w14:textId="77777777" w:rsidR="00306D0D" w:rsidRPr="00AE3765" w:rsidRDefault="00306D0D" w:rsidP="00306D0D">
      <w:pPr>
        <w:spacing w:after="2000"/>
        <w:jc w:val="right"/>
      </w:pPr>
      <w:bookmarkStart w:id="0" w:name="CVP_Secretariat_Loca"/>
      <w:r w:rsidRPr="00AE3765">
        <w:t>Secretariat</w:t>
      </w:r>
      <w:bookmarkEnd w:id="0"/>
      <w:r w:rsidRPr="00AE3765">
        <w:t xml:space="preserve">: </w:t>
      </w:r>
      <w:r w:rsidRPr="00AE3765">
        <w:rPr>
          <w:noProof/>
        </w:rPr>
        <w:t>JISC</w:t>
      </w:r>
    </w:p>
    <w:p w14:paraId="2F8C35D5" w14:textId="51A87AA5" w:rsidR="00CB01A3" w:rsidRPr="00AE3765" w:rsidRDefault="00CB01A3" w:rsidP="00CB01A3">
      <w:pPr>
        <w:spacing w:line="360" w:lineRule="atLeast"/>
        <w:jc w:val="left"/>
        <w:rPr>
          <w:b/>
          <w:sz w:val="32"/>
          <w:szCs w:val="32"/>
        </w:rPr>
      </w:pPr>
      <w:r w:rsidRPr="00100FE2">
        <w:rPr>
          <w:b/>
          <w:sz w:val="32"/>
          <w:szCs w:val="32"/>
        </w:rPr>
        <w:t xml:space="preserve">Information technology — </w:t>
      </w:r>
      <w:r w:rsidR="004B3CFE" w:rsidRPr="004B3CFE">
        <w:rPr>
          <w:b/>
          <w:sz w:val="32"/>
          <w:szCs w:val="32"/>
        </w:rPr>
        <w:t>Dynamic adaptive streaming over HTTP (DASH) — Part 1: Media presentation description and segment formats</w:t>
      </w:r>
      <w:r w:rsidR="004B3CFE">
        <w:rPr>
          <w:b/>
          <w:sz w:val="32"/>
          <w:szCs w:val="32"/>
        </w:rPr>
        <w:t xml:space="preserve"> </w:t>
      </w:r>
      <w:r w:rsidRPr="00AE3765">
        <w:rPr>
          <w:b/>
          <w:sz w:val="32"/>
          <w:szCs w:val="32"/>
        </w:rPr>
        <w:t xml:space="preserve">— Amendment </w:t>
      </w:r>
      <w:r w:rsidR="004B3CFE">
        <w:rPr>
          <w:b/>
          <w:sz w:val="32"/>
          <w:szCs w:val="32"/>
        </w:rPr>
        <w:t>1</w:t>
      </w:r>
      <w:r w:rsidRPr="00AE3765">
        <w:rPr>
          <w:b/>
          <w:sz w:val="32"/>
          <w:szCs w:val="32"/>
        </w:rPr>
        <w:t xml:space="preserve">: </w:t>
      </w:r>
      <w:r w:rsidR="00B332D3">
        <w:rPr>
          <w:b/>
          <w:sz w:val="32"/>
          <w:szCs w:val="32"/>
        </w:rPr>
        <w:t>S</w:t>
      </w:r>
      <w:r w:rsidR="00B332D3" w:rsidRPr="00B332D3">
        <w:rPr>
          <w:b/>
          <w:sz w:val="32"/>
          <w:szCs w:val="32"/>
        </w:rPr>
        <w:t>upport for media authentication, CMCD extension, and other enhancements  </w:t>
      </w:r>
    </w:p>
    <w:p w14:paraId="314CA57E" w14:textId="21615F28" w:rsidR="00F474C2" w:rsidRDefault="00A767F3" w:rsidP="001A33D0">
      <w:pPr>
        <w:spacing w:line="360" w:lineRule="atLeast"/>
        <w:jc w:val="left"/>
        <w:rPr>
          <w:sz w:val="32"/>
          <w:szCs w:val="32"/>
          <w:highlight w:val="yellow"/>
        </w:rPr>
      </w:pPr>
      <w:r>
        <w:rPr>
          <w:sz w:val="32"/>
          <w:szCs w:val="32"/>
        </w:rPr>
        <w:br/>
      </w:r>
    </w:p>
    <w:p w14:paraId="36362BBB" w14:textId="4A8E7963" w:rsidR="001A33D0" w:rsidRPr="00F474C2" w:rsidRDefault="001A33D0" w:rsidP="00F474C2">
      <w:pPr>
        <w:spacing w:line="360" w:lineRule="atLeast"/>
        <w:jc w:val="left"/>
        <w:rPr>
          <w:b/>
          <w:sz w:val="32"/>
          <w:szCs w:val="32"/>
        </w:rPr>
      </w:pPr>
    </w:p>
    <w:p w14:paraId="57386B97" w14:textId="14A8EA24" w:rsidR="001A33D0" w:rsidRPr="00BC394B" w:rsidRDefault="001B3765"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w:t>
      </w:r>
      <w:r w:rsidR="00C245A4">
        <w:rPr>
          <w:sz w:val="80"/>
          <w:szCs w:val="80"/>
        </w:rPr>
        <w:t>D</w:t>
      </w:r>
    </w:p>
    <w:p w14:paraId="2A8464B6" w14:textId="77777777" w:rsidR="001A33D0" w:rsidRPr="00BC394B" w:rsidRDefault="001A33D0" w:rsidP="001A33D0"/>
    <w:p w14:paraId="34186053"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26343190"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B5E19E2"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2413D243" w14:textId="77777777" w:rsidR="00ED5FAB" w:rsidRDefault="00ED5FAB" w:rsidP="00DF6AAF">
      <w:pPr>
        <w:pStyle w:val="BodyText"/>
      </w:pPr>
    </w:p>
    <w:p w14:paraId="2776220B" w14:textId="77777777" w:rsidR="00ED5FAB" w:rsidRDefault="00ED5FAB" w:rsidP="00DF6AAF">
      <w:pPr>
        <w:pStyle w:val="BodyText"/>
      </w:pPr>
    </w:p>
    <w:p w14:paraId="7A04C155" w14:textId="36CE71E6"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1" w:history="1">
        <w:r>
          <w:rPr>
            <w:rStyle w:val="Hyperlink"/>
            <w:i/>
            <w:iCs/>
            <w:sz w:val="20"/>
            <w:szCs w:val="20"/>
            <w:lang w:val="en-US"/>
          </w:rPr>
          <w:t>https://www.iso.org/drafting-standards.html</w:t>
        </w:r>
      </w:hyperlink>
      <w:r>
        <w:rPr>
          <w:i/>
          <w:iCs/>
          <w:sz w:val="20"/>
          <w:szCs w:val="20"/>
          <w:lang w:val="en-US"/>
        </w:rPr>
        <w:t xml:space="preserve"> </w:t>
      </w:r>
    </w:p>
    <w:p w14:paraId="2379C2B5" w14:textId="77777777" w:rsidR="001A33D0" w:rsidRPr="00BC394B" w:rsidRDefault="001A33D0" w:rsidP="00DF6AAF">
      <w:pPr>
        <w:pStyle w:val="BodyText"/>
      </w:pPr>
    </w:p>
    <w:p w14:paraId="112F51BB" w14:textId="77777777" w:rsidR="001A33D0" w:rsidRPr="00BC394B" w:rsidRDefault="001A33D0" w:rsidP="00DF6AAF">
      <w:pPr>
        <w:pStyle w:val="BodyText"/>
        <w:sectPr w:rsidR="001A33D0" w:rsidRPr="00BC394B" w:rsidSect="00CF1A65">
          <w:headerReference w:type="even" r:id="rId12"/>
          <w:footerReference w:type="even" r:id="rId13"/>
          <w:footerReference w:type="default" r:id="rId14"/>
          <w:type w:val="oddPage"/>
          <w:pgSz w:w="11906" w:h="16838" w:code="9"/>
          <w:pgMar w:top="794" w:right="1134" w:bottom="284" w:left="1134" w:header="709" w:footer="0" w:gutter="0"/>
          <w:cols w:space="720"/>
        </w:sectPr>
      </w:pPr>
    </w:p>
    <w:p w14:paraId="5F5F1A58" w14:textId="77777777"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7F3B91">
        <w:rPr>
          <w:color w:val="auto"/>
        </w:rPr>
        <w:t>XX</w:t>
      </w:r>
    </w:p>
    <w:p w14:paraId="5E8290A3"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1F3A1EB"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0A979302"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3EF7702"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44B58C46"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03D33FB6"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5A3FDA45"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5EA568E6"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0AB6259C" w14:textId="77777777" w:rsidR="001A33D0" w:rsidRPr="00BC394B" w:rsidRDefault="001A33D0" w:rsidP="001A33D0">
      <w:pPr>
        <w:pStyle w:val="zzContents"/>
        <w:spacing w:before="0"/>
      </w:pPr>
      <w:r w:rsidRPr="00BC394B">
        <w:lastRenderedPageBreak/>
        <w:t>Contents</w:t>
      </w:r>
    </w:p>
    <w:p w14:paraId="20AB4EB5" w14:textId="3BC22F13" w:rsidR="005D3C3E" w:rsidRDefault="0054733A">
      <w:pPr>
        <w:pStyle w:val="TOC1"/>
        <w:rPr>
          <w:rFonts w:asciiTheme="minorHAnsi" w:eastAsiaTheme="minorEastAsia" w:hAnsiTheme="minorHAnsi" w:cstheme="minorBidi"/>
          <w:b w:val="0"/>
          <w:noProof/>
          <w:kern w:val="2"/>
          <w:sz w:val="24"/>
          <w:szCs w:val="24"/>
          <w:lang w:val="en-US"/>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8540006" w:history="1">
        <w:r w:rsidR="005D3C3E" w:rsidRPr="00CC2944">
          <w:rPr>
            <w:rStyle w:val="Hyperlink"/>
            <w:noProof/>
          </w:rPr>
          <w:t>1</w:t>
        </w:r>
        <w:r w:rsidR="005D3C3E">
          <w:rPr>
            <w:rFonts w:asciiTheme="minorHAnsi" w:eastAsiaTheme="minorEastAsia" w:hAnsiTheme="minorHAnsi" w:cstheme="minorBidi"/>
            <w:b w:val="0"/>
            <w:noProof/>
            <w:kern w:val="2"/>
            <w:sz w:val="24"/>
            <w:szCs w:val="24"/>
            <w:lang w:val="en-US"/>
            <w14:ligatures w14:val="standardContextual"/>
          </w:rPr>
          <w:tab/>
        </w:r>
        <w:r w:rsidR="005D3C3E" w:rsidRPr="00CC2944">
          <w:rPr>
            <w:rStyle w:val="Hyperlink"/>
            <w:noProof/>
          </w:rPr>
          <w:t>Clause 5.3.3, Adaptation Sets</w:t>
        </w:r>
        <w:r w:rsidR="005D3C3E">
          <w:rPr>
            <w:noProof/>
            <w:webHidden/>
          </w:rPr>
          <w:tab/>
        </w:r>
        <w:r w:rsidR="005D3C3E">
          <w:rPr>
            <w:noProof/>
            <w:webHidden/>
          </w:rPr>
          <w:fldChar w:fldCharType="begin"/>
        </w:r>
        <w:r w:rsidR="005D3C3E">
          <w:rPr>
            <w:noProof/>
            <w:webHidden/>
          </w:rPr>
          <w:instrText xml:space="preserve"> PAGEREF _Toc228540006 \h </w:instrText>
        </w:r>
        <w:r w:rsidR="005D3C3E">
          <w:rPr>
            <w:noProof/>
            <w:webHidden/>
          </w:rPr>
        </w:r>
        <w:r w:rsidR="005D3C3E">
          <w:rPr>
            <w:noProof/>
            <w:webHidden/>
          </w:rPr>
          <w:fldChar w:fldCharType="separate"/>
        </w:r>
        <w:r w:rsidR="005D3C3E">
          <w:rPr>
            <w:noProof/>
            <w:webHidden/>
          </w:rPr>
          <w:t>3</w:t>
        </w:r>
        <w:r w:rsidR="005D3C3E">
          <w:rPr>
            <w:noProof/>
            <w:webHidden/>
          </w:rPr>
          <w:fldChar w:fldCharType="end"/>
        </w:r>
      </w:hyperlink>
    </w:p>
    <w:p w14:paraId="66F7288E" w14:textId="1D2AFEEE"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07" w:history="1">
        <w:r w:rsidRPr="00CC2944">
          <w:rPr>
            <w:rStyle w:val="Hyperlink"/>
            <w:noProof/>
            <w:lang w:val="en-US"/>
          </w:rPr>
          <w:t>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4.7, Overview / Schemes</w:t>
        </w:r>
        <w:r>
          <w:rPr>
            <w:noProof/>
            <w:webHidden/>
          </w:rPr>
          <w:tab/>
        </w:r>
        <w:r>
          <w:rPr>
            <w:noProof/>
            <w:webHidden/>
          </w:rPr>
          <w:fldChar w:fldCharType="begin"/>
        </w:r>
        <w:r>
          <w:rPr>
            <w:noProof/>
            <w:webHidden/>
          </w:rPr>
          <w:instrText xml:space="preserve"> PAGEREF _Toc228540007 \h </w:instrText>
        </w:r>
        <w:r>
          <w:rPr>
            <w:noProof/>
            <w:webHidden/>
          </w:rPr>
        </w:r>
        <w:r>
          <w:rPr>
            <w:noProof/>
            <w:webHidden/>
          </w:rPr>
          <w:fldChar w:fldCharType="separate"/>
        </w:r>
        <w:r>
          <w:rPr>
            <w:noProof/>
            <w:webHidden/>
          </w:rPr>
          <w:t>5</w:t>
        </w:r>
        <w:r>
          <w:rPr>
            <w:noProof/>
            <w:webHidden/>
          </w:rPr>
          <w:fldChar w:fldCharType="end"/>
        </w:r>
      </w:hyperlink>
    </w:p>
    <w:p w14:paraId="32DBAF45" w14:textId="53B7B33E"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08" w:history="1">
        <w:r w:rsidRPr="00CC2944">
          <w:rPr>
            <w:rStyle w:val="Hyperlink"/>
            <w:noProof/>
            <w:lang w:val="en-US"/>
          </w:rPr>
          <w:t>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 Media Presentation</w:t>
        </w:r>
        <w:r>
          <w:rPr>
            <w:noProof/>
            <w:webHidden/>
          </w:rPr>
          <w:tab/>
        </w:r>
        <w:r>
          <w:rPr>
            <w:noProof/>
            <w:webHidden/>
          </w:rPr>
          <w:fldChar w:fldCharType="begin"/>
        </w:r>
        <w:r>
          <w:rPr>
            <w:noProof/>
            <w:webHidden/>
          </w:rPr>
          <w:instrText xml:space="preserve"> PAGEREF _Toc228540008 \h </w:instrText>
        </w:r>
        <w:r>
          <w:rPr>
            <w:noProof/>
            <w:webHidden/>
          </w:rPr>
        </w:r>
        <w:r>
          <w:rPr>
            <w:noProof/>
            <w:webHidden/>
          </w:rPr>
          <w:fldChar w:fldCharType="separate"/>
        </w:r>
        <w:r>
          <w:rPr>
            <w:noProof/>
            <w:webHidden/>
          </w:rPr>
          <w:t>5</w:t>
        </w:r>
        <w:r>
          <w:rPr>
            <w:noProof/>
            <w:webHidden/>
          </w:rPr>
          <w:fldChar w:fldCharType="end"/>
        </w:r>
      </w:hyperlink>
    </w:p>
    <w:p w14:paraId="30DFC22F" w14:textId="2276053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09" w:history="1">
        <w:r w:rsidRPr="00CC2944">
          <w:rPr>
            <w:rStyle w:val="Hyperlink"/>
            <w:noProof/>
            <w:lang w:val="en-US"/>
          </w:rPr>
          <w:t>3.1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5.3.3.1, Hierarchical data model / AdaptationSets / Overview</w:t>
        </w:r>
        <w:r>
          <w:rPr>
            <w:noProof/>
            <w:webHidden/>
          </w:rPr>
          <w:tab/>
        </w:r>
        <w:r>
          <w:rPr>
            <w:noProof/>
            <w:webHidden/>
          </w:rPr>
          <w:fldChar w:fldCharType="begin"/>
        </w:r>
        <w:r>
          <w:rPr>
            <w:noProof/>
            <w:webHidden/>
          </w:rPr>
          <w:instrText xml:space="preserve"> PAGEREF _Toc228540009 \h </w:instrText>
        </w:r>
        <w:r>
          <w:rPr>
            <w:noProof/>
            <w:webHidden/>
          </w:rPr>
        </w:r>
        <w:r>
          <w:rPr>
            <w:noProof/>
            <w:webHidden/>
          </w:rPr>
          <w:fldChar w:fldCharType="separate"/>
        </w:r>
        <w:r>
          <w:rPr>
            <w:noProof/>
            <w:webHidden/>
          </w:rPr>
          <w:t>5</w:t>
        </w:r>
        <w:r>
          <w:rPr>
            <w:noProof/>
            <w:webHidden/>
          </w:rPr>
          <w:fldChar w:fldCharType="end"/>
        </w:r>
      </w:hyperlink>
    </w:p>
    <w:p w14:paraId="13294FEE" w14:textId="26A224EB"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0" w:history="1">
        <w:r w:rsidRPr="00CC2944">
          <w:rPr>
            <w:rStyle w:val="Hyperlink"/>
            <w:noProof/>
            <w:lang w:val="en-US"/>
          </w:rPr>
          <w:t>3.2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5.8.4.6, Frame Packing</w:t>
        </w:r>
        <w:r>
          <w:rPr>
            <w:noProof/>
            <w:webHidden/>
          </w:rPr>
          <w:tab/>
        </w:r>
        <w:r>
          <w:rPr>
            <w:noProof/>
            <w:webHidden/>
          </w:rPr>
          <w:fldChar w:fldCharType="begin"/>
        </w:r>
        <w:r>
          <w:rPr>
            <w:noProof/>
            <w:webHidden/>
          </w:rPr>
          <w:instrText xml:space="preserve"> PAGEREF _Toc228540010 \h </w:instrText>
        </w:r>
        <w:r>
          <w:rPr>
            <w:noProof/>
            <w:webHidden/>
          </w:rPr>
        </w:r>
        <w:r>
          <w:rPr>
            <w:noProof/>
            <w:webHidden/>
          </w:rPr>
          <w:fldChar w:fldCharType="separate"/>
        </w:r>
        <w:r>
          <w:rPr>
            <w:noProof/>
            <w:webHidden/>
          </w:rPr>
          <w:t>5</w:t>
        </w:r>
        <w:r>
          <w:rPr>
            <w:noProof/>
            <w:webHidden/>
          </w:rPr>
          <w:fldChar w:fldCharType="end"/>
        </w:r>
      </w:hyperlink>
    </w:p>
    <w:p w14:paraId="32EC228C" w14:textId="7E5EBA8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1" w:history="1">
        <w:r w:rsidRPr="00CC2944">
          <w:rPr>
            <w:rStyle w:val="Hyperlink"/>
            <w:noProof/>
            <w:lang w:val="en-US"/>
          </w:rPr>
          <w:t>3.3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5.8.4.7, Audio Channel Configuration</w:t>
        </w:r>
        <w:r>
          <w:rPr>
            <w:noProof/>
            <w:webHidden/>
          </w:rPr>
          <w:tab/>
        </w:r>
        <w:r>
          <w:rPr>
            <w:noProof/>
            <w:webHidden/>
          </w:rPr>
          <w:fldChar w:fldCharType="begin"/>
        </w:r>
        <w:r>
          <w:rPr>
            <w:noProof/>
            <w:webHidden/>
          </w:rPr>
          <w:instrText xml:space="preserve"> PAGEREF _Toc228540011 \h </w:instrText>
        </w:r>
        <w:r>
          <w:rPr>
            <w:noProof/>
            <w:webHidden/>
          </w:rPr>
        </w:r>
        <w:r>
          <w:rPr>
            <w:noProof/>
            <w:webHidden/>
          </w:rPr>
          <w:fldChar w:fldCharType="separate"/>
        </w:r>
        <w:r>
          <w:rPr>
            <w:noProof/>
            <w:webHidden/>
          </w:rPr>
          <w:t>6</w:t>
        </w:r>
        <w:r>
          <w:rPr>
            <w:noProof/>
            <w:webHidden/>
          </w:rPr>
          <w:fldChar w:fldCharType="end"/>
        </w:r>
      </w:hyperlink>
    </w:p>
    <w:p w14:paraId="27F61A78" w14:textId="02C570E2"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2" w:history="1">
        <w:r w:rsidRPr="00CC2944">
          <w:rPr>
            <w:rStyle w:val="Hyperlink"/>
            <w:noProof/>
            <w:lang w:val="en-US"/>
          </w:rPr>
          <w:t>4</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 Adding preselection to DASH profile for CMAF content</w:t>
        </w:r>
        <w:r>
          <w:rPr>
            <w:noProof/>
            <w:webHidden/>
          </w:rPr>
          <w:tab/>
        </w:r>
        <w:r>
          <w:rPr>
            <w:noProof/>
            <w:webHidden/>
          </w:rPr>
          <w:fldChar w:fldCharType="begin"/>
        </w:r>
        <w:r>
          <w:rPr>
            <w:noProof/>
            <w:webHidden/>
          </w:rPr>
          <w:instrText xml:space="preserve"> PAGEREF _Toc228540012 \h </w:instrText>
        </w:r>
        <w:r>
          <w:rPr>
            <w:noProof/>
            <w:webHidden/>
          </w:rPr>
        </w:r>
        <w:r>
          <w:rPr>
            <w:noProof/>
            <w:webHidden/>
          </w:rPr>
          <w:fldChar w:fldCharType="separate"/>
        </w:r>
        <w:r>
          <w:rPr>
            <w:noProof/>
            <w:webHidden/>
          </w:rPr>
          <w:t>6</w:t>
        </w:r>
        <w:r>
          <w:rPr>
            <w:noProof/>
            <w:webHidden/>
          </w:rPr>
          <w:fldChar w:fldCharType="end"/>
        </w:r>
      </w:hyperlink>
    </w:p>
    <w:p w14:paraId="27623D9E" w14:textId="66C12B7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3" w:history="1">
        <w:r w:rsidRPr="00CC2944">
          <w:rPr>
            <w:rStyle w:val="Hyperlink"/>
            <w:noProof/>
            <w:lang w:val="en-US"/>
          </w:rPr>
          <w:t>4.1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8.12.3.3</w:t>
        </w:r>
        <w:r>
          <w:rPr>
            <w:noProof/>
            <w:webHidden/>
          </w:rPr>
          <w:tab/>
        </w:r>
        <w:r>
          <w:rPr>
            <w:noProof/>
            <w:webHidden/>
          </w:rPr>
          <w:fldChar w:fldCharType="begin"/>
        </w:r>
        <w:r>
          <w:rPr>
            <w:noProof/>
            <w:webHidden/>
          </w:rPr>
          <w:instrText xml:space="preserve"> PAGEREF _Toc228540013 \h </w:instrText>
        </w:r>
        <w:r>
          <w:rPr>
            <w:noProof/>
            <w:webHidden/>
          </w:rPr>
        </w:r>
        <w:r>
          <w:rPr>
            <w:noProof/>
            <w:webHidden/>
          </w:rPr>
          <w:fldChar w:fldCharType="separate"/>
        </w:r>
        <w:r>
          <w:rPr>
            <w:noProof/>
            <w:webHidden/>
          </w:rPr>
          <w:t>6</w:t>
        </w:r>
        <w:r>
          <w:rPr>
            <w:noProof/>
            <w:webHidden/>
          </w:rPr>
          <w:fldChar w:fldCharType="end"/>
        </w:r>
      </w:hyperlink>
    </w:p>
    <w:p w14:paraId="7EE2AFEF" w14:textId="138DA65A"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4" w:history="1">
        <w:r w:rsidRPr="00CC2944">
          <w:rPr>
            <w:rStyle w:val="Hyperlink"/>
            <w:noProof/>
            <w:lang w:val="en-US"/>
          </w:rPr>
          <w:t>4.2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8.12.4.4</w:t>
        </w:r>
        <w:r>
          <w:rPr>
            <w:noProof/>
            <w:webHidden/>
          </w:rPr>
          <w:tab/>
        </w:r>
        <w:r>
          <w:rPr>
            <w:noProof/>
            <w:webHidden/>
          </w:rPr>
          <w:fldChar w:fldCharType="begin"/>
        </w:r>
        <w:r>
          <w:rPr>
            <w:noProof/>
            <w:webHidden/>
          </w:rPr>
          <w:instrText xml:space="preserve"> PAGEREF _Toc228540014 \h </w:instrText>
        </w:r>
        <w:r>
          <w:rPr>
            <w:noProof/>
            <w:webHidden/>
          </w:rPr>
        </w:r>
        <w:r>
          <w:rPr>
            <w:noProof/>
            <w:webHidden/>
          </w:rPr>
          <w:fldChar w:fldCharType="separate"/>
        </w:r>
        <w:r>
          <w:rPr>
            <w:noProof/>
            <w:webHidden/>
          </w:rPr>
          <w:t>6</w:t>
        </w:r>
        <w:r>
          <w:rPr>
            <w:noProof/>
            <w:webHidden/>
          </w:rPr>
          <w:fldChar w:fldCharType="end"/>
        </w:r>
      </w:hyperlink>
    </w:p>
    <w:p w14:paraId="59846659" w14:textId="2219C604"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5" w:history="1">
        <w:r w:rsidRPr="00CC2944">
          <w:rPr>
            <w:rStyle w:val="Hyperlink"/>
            <w:noProof/>
            <w:lang w:val="en-US"/>
          </w:rPr>
          <w:t>4.3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new clause 8.12.8.1 or 8.12.4.6</w:t>
        </w:r>
        <w:r>
          <w:rPr>
            <w:noProof/>
            <w:webHidden/>
          </w:rPr>
          <w:tab/>
        </w:r>
        <w:r>
          <w:rPr>
            <w:noProof/>
            <w:webHidden/>
          </w:rPr>
          <w:fldChar w:fldCharType="begin"/>
        </w:r>
        <w:r>
          <w:rPr>
            <w:noProof/>
            <w:webHidden/>
          </w:rPr>
          <w:instrText xml:space="preserve"> PAGEREF _Toc228540015 \h </w:instrText>
        </w:r>
        <w:r>
          <w:rPr>
            <w:noProof/>
            <w:webHidden/>
          </w:rPr>
        </w:r>
        <w:r>
          <w:rPr>
            <w:noProof/>
            <w:webHidden/>
          </w:rPr>
          <w:fldChar w:fldCharType="separate"/>
        </w:r>
        <w:r>
          <w:rPr>
            <w:noProof/>
            <w:webHidden/>
          </w:rPr>
          <w:t>6</w:t>
        </w:r>
        <w:r>
          <w:rPr>
            <w:noProof/>
            <w:webHidden/>
          </w:rPr>
          <w:fldChar w:fldCharType="end"/>
        </w:r>
      </w:hyperlink>
    </w:p>
    <w:p w14:paraId="47574E5B" w14:textId="7201F3BF"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6" w:history="1">
        <w:r w:rsidRPr="00CC2944">
          <w:rPr>
            <w:rStyle w:val="Hyperlink"/>
            <w:noProof/>
            <w:lang w:val="en-US"/>
          </w:rPr>
          <w:t>5</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Annex I, Flexible Insertion of URL Parameters</w:t>
        </w:r>
        <w:r>
          <w:rPr>
            <w:noProof/>
            <w:webHidden/>
          </w:rPr>
          <w:tab/>
        </w:r>
        <w:r>
          <w:rPr>
            <w:noProof/>
            <w:webHidden/>
          </w:rPr>
          <w:fldChar w:fldCharType="begin"/>
        </w:r>
        <w:r>
          <w:rPr>
            <w:noProof/>
            <w:webHidden/>
          </w:rPr>
          <w:instrText xml:space="preserve"> PAGEREF _Toc228540016 \h </w:instrText>
        </w:r>
        <w:r>
          <w:rPr>
            <w:noProof/>
            <w:webHidden/>
          </w:rPr>
        </w:r>
        <w:r>
          <w:rPr>
            <w:noProof/>
            <w:webHidden/>
          </w:rPr>
          <w:fldChar w:fldCharType="separate"/>
        </w:r>
        <w:r>
          <w:rPr>
            <w:noProof/>
            <w:webHidden/>
          </w:rPr>
          <w:t>7</w:t>
        </w:r>
        <w:r>
          <w:rPr>
            <w:noProof/>
            <w:webHidden/>
          </w:rPr>
          <w:fldChar w:fldCharType="end"/>
        </w:r>
      </w:hyperlink>
    </w:p>
    <w:p w14:paraId="7B65D3B8" w14:textId="68383BB0"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7" w:history="1">
        <w:r w:rsidRPr="00CC2944">
          <w:rPr>
            <w:rStyle w:val="Hyperlink"/>
            <w:noProof/>
            <w:lang w:val="en-US"/>
          </w:rPr>
          <w:t>5.1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I.1, General</w:t>
        </w:r>
        <w:r>
          <w:rPr>
            <w:noProof/>
            <w:webHidden/>
          </w:rPr>
          <w:tab/>
        </w:r>
        <w:r>
          <w:rPr>
            <w:noProof/>
            <w:webHidden/>
          </w:rPr>
          <w:fldChar w:fldCharType="begin"/>
        </w:r>
        <w:r>
          <w:rPr>
            <w:noProof/>
            <w:webHidden/>
          </w:rPr>
          <w:instrText xml:space="preserve"> PAGEREF _Toc228540017 \h </w:instrText>
        </w:r>
        <w:r>
          <w:rPr>
            <w:noProof/>
            <w:webHidden/>
          </w:rPr>
        </w:r>
        <w:r>
          <w:rPr>
            <w:noProof/>
            <w:webHidden/>
          </w:rPr>
          <w:fldChar w:fldCharType="separate"/>
        </w:r>
        <w:r>
          <w:rPr>
            <w:noProof/>
            <w:webHidden/>
          </w:rPr>
          <w:t>7</w:t>
        </w:r>
        <w:r>
          <w:rPr>
            <w:noProof/>
            <w:webHidden/>
          </w:rPr>
          <w:fldChar w:fldCharType="end"/>
        </w:r>
      </w:hyperlink>
    </w:p>
    <w:p w14:paraId="0C7831CF" w14:textId="28170626"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8" w:history="1">
        <w:r w:rsidRPr="00CC2944">
          <w:rPr>
            <w:rStyle w:val="Hyperlink"/>
            <w:noProof/>
            <w:lang w:val="en-US"/>
          </w:rPr>
          <w:t>5.2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I.2.3.3, Computation of a final query string</w:t>
        </w:r>
        <w:r>
          <w:rPr>
            <w:noProof/>
            <w:webHidden/>
          </w:rPr>
          <w:tab/>
        </w:r>
        <w:r>
          <w:rPr>
            <w:noProof/>
            <w:webHidden/>
          </w:rPr>
          <w:fldChar w:fldCharType="begin"/>
        </w:r>
        <w:r>
          <w:rPr>
            <w:noProof/>
            <w:webHidden/>
          </w:rPr>
          <w:instrText xml:space="preserve"> PAGEREF _Toc228540018 \h </w:instrText>
        </w:r>
        <w:r>
          <w:rPr>
            <w:noProof/>
            <w:webHidden/>
          </w:rPr>
        </w:r>
        <w:r>
          <w:rPr>
            <w:noProof/>
            <w:webHidden/>
          </w:rPr>
          <w:fldChar w:fldCharType="separate"/>
        </w:r>
        <w:r>
          <w:rPr>
            <w:noProof/>
            <w:webHidden/>
          </w:rPr>
          <w:t>8</w:t>
        </w:r>
        <w:r>
          <w:rPr>
            <w:noProof/>
            <w:webHidden/>
          </w:rPr>
          <w:fldChar w:fldCharType="end"/>
        </w:r>
      </w:hyperlink>
    </w:p>
    <w:p w14:paraId="7A1B7E54" w14:textId="2029189D"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9" w:history="1">
        <w:r w:rsidRPr="00CC2944">
          <w:rPr>
            <w:rStyle w:val="Hyperlink"/>
            <w:noProof/>
            <w:lang w:val="en-US"/>
          </w:rPr>
          <w:t>6</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Annex G, MPD Examples and MPD Usage</w:t>
        </w:r>
        <w:r>
          <w:rPr>
            <w:noProof/>
            <w:webHidden/>
          </w:rPr>
          <w:tab/>
        </w:r>
        <w:r>
          <w:rPr>
            <w:noProof/>
            <w:webHidden/>
          </w:rPr>
          <w:fldChar w:fldCharType="begin"/>
        </w:r>
        <w:r>
          <w:rPr>
            <w:noProof/>
            <w:webHidden/>
          </w:rPr>
          <w:instrText xml:space="preserve"> PAGEREF _Toc228540019 \h </w:instrText>
        </w:r>
        <w:r>
          <w:rPr>
            <w:noProof/>
            <w:webHidden/>
          </w:rPr>
        </w:r>
        <w:r>
          <w:rPr>
            <w:noProof/>
            <w:webHidden/>
          </w:rPr>
          <w:fldChar w:fldCharType="separate"/>
        </w:r>
        <w:r>
          <w:rPr>
            <w:noProof/>
            <w:webHidden/>
          </w:rPr>
          <w:t>8</w:t>
        </w:r>
        <w:r>
          <w:rPr>
            <w:noProof/>
            <w:webHidden/>
          </w:rPr>
          <w:fldChar w:fldCharType="end"/>
        </w:r>
      </w:hyperlink>
    </w:p>
    <w:p w14:paraId="0BCA5C32" w14:textId="59C41C06"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20" w:history="1">
        <w:r w:rsidRPr="00CC2944">
          <w:rPr>
            <w:rStyle w:val="Hyperlink"/>
            <w:noProof/>
            <w:lang w:val="en-US"/>
          </w:rPr>
          <w:t>6.1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Overall annex G</w:t>
        </w:r>
        <w:r>
          <w:rPr>
            <w:noProof/>
            <w:webHidden/>
          </w:rPr>
          <w:tab/>
        </w:r>
        <w:r>
          <w:rPr>
            <w:noProof/>
            <w:webHidden/>
          </w:rPr>
          <w:fldChar w:fldCharType="begin"/>
        </w:r>
        <w:r>
          <w:rPr>
            <w:noProof/>
            <w:webHidden/>
          </w:rPr>
          <w:instrText xml:space="preserve"> PAGEREF _Toc228540020 \h </w:instrText>
        </w:r>
        <w:r>
          <w:rPr>
            <w:noProof/>
            <w:webHidden/>
          </w:rPr>
        </w:r>
        <w:r>
          <w:rPr>
            <w:noProof/>
            <w:webHidden/>
          </w:rPr>
          <w:fldChar w:fldCharType="separate"/>
        </w:r>
        <w:r>
          <w:rPr>
            <w:noProof/>
            <w:webHidden/>
          </w:rPr>
          <w:t>8</w:t>
        </w:r>
        <w:r>
          <w:rPr>
            <w:noProof/>
            <w:webHidden/>
          </w:rPr>
          <w:fldChar w:fldCharType="end"/>
        </w:r>
      </w:hyperlink>
    </w:p>
    <w:p w14:paraId="73322270" w14:textId="6D3FB16B" w:rsidR="001A33D0" w:rsidRPr="00BC394B" w:rsidRDefault="0054733A" w:rsidP="00720827">
      <w:pPr>
        <w:pStyle w:val="TOC1"/>
        <w:ind w:left="0" w:firstLine="0"/>
      </w:pPr>
      <w:r w:rsidRPr="00BC394B">
        <w:fldChar w:fldCharType="end"/>
      </w:r>
      <w:bookmarkStart w:id="1" w:name="_Toc353342667"/>
      <w:r w:rsidR="001A33D0" w:rsidRPr="00BC394B">
        <w:t>Foreword</w:t>
      </w:r>
      <w:bookmarkEnd w:id="1"/>
    </w:p>
    <w:p w14:paraId="656029C8"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52FCAAE" w14:textId="6C122873"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5" w:history="1">
        <w:r w:rsidRPr="00BC394B">
          <w:rPr>
            <w:rStyle w:val="Hyperlink"/>
            <w:lang w:val="en-GB"/>
          </w:rPr>
          <w:t>www.iso.org/directives</w:t>
        </w:r>
      </w:hyperlink>
      <w:r w:rsidRPr="00DF6AAF">
        <w:rPr>
          <w:lang w:val="en-GB"/>
        </w:rPr>
        <w:t>).</w:t>
      </w:r>
    </w:p>
    <w:p w14:paraId="057F33B4" w14:textId="0FA6BF30"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6"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7BEF4698"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25743CFE" w14:textId="0B014E36"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7" w:history="1">
        <w:r w:rsidRPr="00C33932">
          <w:rPr>
            <w:rStyle w:val="Hyperlink"/>
            <w:rFonts w:eastAsia="Malgun Gothic" w:cs="Arial"/>
            <w:szCs w:val="24"/>
            <w:lang w:val="en-GB"/>
          </w:rPr>
          <w:t>www.iso.org/iso/foreword.html</w:t>
        </w:r>
      </w:hyperlink>
      <w:r w:rsidRPr="00DF6AAF">
        <w:rPr>
          <w:rFonts w:eastAsia="Malgun Gothic"/>
          <w:lang w:val="en-GB"/>
        </w:rPr>
        <w:t>.</w:t>
      </w:r>
    </w:p>
    <w:p w14:paraId="44BB3C9A" w14:textId="77777777" w:rsidR="002F60D6" w:rsidRPr="00AE3765" w:rsidRDefault="002F60D6" w:rsidP="002F60D6">
      <w:pPr>
        <w:pStyle w:val="ForewordText"/>
        <w:autoSpaceDE w:val="0"/>
        <w:autoSpaceDN w:val="0"/>
        <w:adjustRightInd w:val="0"/>
        <w:rPr>
          <w:szCs w:val="24"/>
          <w:lang w:val="en-CA"/>
        </w:rPr>
      </w:pPr>
      <w:r w:rsidRPr="00AE3765">
        <w:rPr>
          <w:lang w:val="en-CA"/>
        </w:rPr>
        <w:t xml:space="preserve">This document was prepared by Joint Technical Committee </w:t>
      </w:r>
      <w:r w:rsidRPr="00AE3765">
        <w:rPr>
          <w:szCs w:val="24"/>
          <w:lang w:val="en-CA"/>
        </w:rPr>
        <w:t xml:space="preserve">ISO/IEC JTC 1, </w:t>
      </w:r>
      <w:r w:rsidRPr="00AE3765">
        <w:rPr>
          <w:i/>
          <w:szCs w:val="24"/>
          <w:lang w:val="en-CA"/>
        </w:rPr>
        <w:t>Information technology</w:t>
      </w:r>
      <w:r w:rsidRPr="00AE3765">
        <w:rPr>
          <w:szCs w:val="24"/>
          <w:lang w:val="en-CA"/>
        </w:rPr>
        <w:t xml:space="preserve">, SC 29, </w:t>
      </w:r>
      <w:r w:rsidRPr="00AE3765">
        <w:rPr>
          <w:i/>
          <w:szCs w:val="24"/>
          <w:lang w:val="en-CA"/>
        </w:rPr>
        <w:t>Coding of audio, picture, multimedia and hypermedia information</w:t>
      </w:r>
      <w:r w:rsidRPr="00AE3765">
        <w:rPr>
          <w:szCs w:val="24"/>
          <w:lang w:val="en-CA"/>
        </w:rPr>
        <w:t>.</w:t>
      </w:r>
    </w:p>
    <w:p w14:paraId="097A0A54" w14:textId="10DF921D" w:rsidR="001A33D0" w:rsidRPr="00DF6AAF" w:rsidRDefault="001A33D0" w:rsidP="00AD6264">
      <w:pPr>
        <w:pStyle w:val="ForewordText"/>
        <w:rPr>
          <w:rFonts w:ascii="Calibri" w:hAnsi="Calibri"/>
          <w:lang w:val="en-GB"/>
        </w:rPr>
      </w:pPr>
      <w:r w:rsidRPr="00DF6AAF">
        <w:rPr>
          <w:lang w:val="en-GB"/>
        </w:rPr>
        <w:t>A list of all parts in the ISO</w:t>
      </w:r>
      <w:r w:rsidR="002F60D6">
        <w:rPr>
          <w:lang w:val="en-GB"/>
        </w:rPr>
        <w:t>/IEC</w:t>
      </w:r>
      <w:r w:rsidRPr="00DF6AAF">
        <w:rPr>
          <w:lang w:val="en-GB"/>
        </w:rPr>
        <w:t xml:space="preserve"> </w:t>
      </w:r>
      <w:r w:rsidR="002F60D6">
        <w:rPr>
          <w:color w:val="FF0000"/>
          <w:lang w:val="en-GB"/>
        </w:rPr>
        <w:t>14496</w:t>
      </w:r>
      <w:r w:rsidRPr="00DF6AAF">
        <w:rPr>
          <w:lang w:val="en-GB"/>
        </w:rPr>
        <w:t xml:space="preserve"> series can be found on the ISO website.</w:t>
      </w:r>
    </w:p>
    <w:p w14:paraId="29EAE819" w14:textId="4C2222D1" w:rsidR="00720827"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18" w:history="1">
        <w:r w:rsidR="00F81ACE" w:rsidRPr="00C33932">
          <w:rPr>
            <w:rStyle w:val="Hyperlink"/>
            <w:iCs/>
            <w:lang w:val="en-US"/>
          </w:rPr>
          <w:t>www.iso.org/members.html</w:t>
        </w:r>
      </w:hyperlink>
      <w:r w:rsidRPr="00DF6AAF">
        <w:rPr>
          <w:iCs/>
          <w:lang w:val="en-GB"/>
        </w:rPr>
        <w:t>.</w:t>
      </w:r>
    </w:p>
    <w:p w14:paraId="4B92C472" w14:textId="77777777" w:rsidR="00720827" w:rsidRDefault="00720827">
      <w:pPr>
        <w:tabs>
          <w:tab w:val="clear" w:pos="403"/>
        </w:tabs>
        <w:spacing w:after="0" w:line="240" w:lineRule="auto"/>
        <w:jc w:val="left"/>
        <w:rPr>
          <w:iCs/>
        </w:rPr>
      </w:pPr>
      <w:r>
        <w:rPr>
          <w:iCs/>
        </w:rPr>
        <w:br w:type="page"/>
      </w:r>
    </w:p>
    <w:p w14:paraId="136970AA" w14:textId="720B2210" w:rsidR="00720827" w:rsidRDefault="00720827" w:rsidP="00720827">
      <w:pPr>
        <w:rPr>
          <w:b/>
          <w:sz w:val="26"/>
          <w:lang w:eastAsia="ja-JP"/>
        </w:rPr>
      </w:pPr>
      <w:bookmarkStart w:id="2" w:name="_Toc194315160"/>
      <w:bookmarkStart w:id="3" w:name="_Toc194315164"/>
      <w:bookmarkStart w:id="4" w:name="_Toc353342669"/>
      <w:r w:rsidRPr="00C46A33">
        <w:rPr>
          <w:b/>
          <w:sz w:val="32"/>
          <w:szCs w:val="32"/>
        </w:rPr>
        <w:lastRenderedPageBreak/>
        <w:t xml:space="preserve">Information technology — </w:t>
      </w:r>
      <w:r w:rsidR="00D63FC4" w:rsidRPr="00D63FC4">
        <w:rPr>
          <w:b/>
          <w:sz w:val="32"/>
          <w:szCs w:val="32"/>
        </w:rPr>
        <w:t xml:space="preserve">Dynamic adaptive streaming over HTTP (DASH) — Part 1: Media presentation description and segment formats — Amendment 1: </w:t>
      </w:r>
      <w:r w:rsidR="00B332D3">
        <w:rPr>
          <w:b/>
          <w:sz w:val="32"/>
          <w:szCs w:val="32"/>
        </w:rPr>
        <w:t>S</w:t>
      </w:r>
      <w:r w:rsidR="00B332D3" w:rsidRPr="00B332D3">
        <w:rPr>
          <w:b/>
          <w:bCs/>
          <w:sz w:val="32"/>
          <w:szCs w:val="32"/>
        </w:rPr>
        <w:t>upport for media authentication, CMCD extension, and other enhancements  </w:t>
      </w:r>
    </w:p>
    <w:p w14:paraId="1F7F1970" w14:textId="49766081" w:rsidR="00747EC7" w:rsidRDefault="00BA61DA" w:rsidP="00747EC7">
      <w:pPr>
        <w:pStyle w:val="Heading1"/>
      </w:pPr>
      <w:bookmarkStart w:id="5" w:name="_Toc228540006"/>
      <w:r w:rsidRPr="004C457E">
        <w:t xml:space="preserve">Clause </w:t>
      </w:r>
      <w:r w:rsidR="00747EC7">
        <w:t>5</w:t>
      </w:r>
      <w:r w:rsidRPr="004C457E">
        <w:t>.</w:t>
      </w:r>
      <w:r w:rsidR="00747EC7">
        <w:t>3.3</w:t>
      </w:r>
      <w:r w:rsidRPr="004C457E">
        <w:t xml:space="preserve">, </w:t>
      </w:r>
      <w:r w:rsidR="00747EC7" w:rsidRPr="00747EC7">
        <w:t>Adaptation Sets</w:t>
      </w:r>
      <w:bookmarkEnd w:id="5"/>
    </w:p>
    <w:p w14:paraId="5D610FE6" w14:textId="5BC6FE6A" w:rsidR="00747EC7" w:rsidRPr="00747EC7" w:rsidRDefault="00747EC7" w:rsidP="00747EC7">
      <w:pPr>
        <w:rPr>
          <w:lang w:eastAsia="ja-JP"/>
        </w:rPr>
      </w:pPr>
      <w:r w:rsidRPr="00747EC7">
        <w:rPr>
          <w:lang w:eastAsia="ja-JP"/>
        </w:rPr>
        <w:t xml:space="preserve">Clause </w:t>
      </w:r>
      <w:r>
        <w:rPr>
          <w:lang w:eastAsia="ja-JP"/>
        </w:rPr>
        <w:t>5.3.3.2 Semantics</w:t>
      </w:r>
    </w:p>
    <w:p w14:paraId="29A34DC6" w14:textId="7C1B0989" w:rsidR="00747EC7" w:rsidRPr="003D7D25" w:rsidRDefault="00747EC7" w:rsidP="00747EC7">
      <w:pPr>
        <w:pStyle w:val="AMDInstruction"/>
      </w:pPr>
      <w:r>
        <w:t xml:space="preserve">Add the following entry in </w:t>
      </w:r>
      <w:r w:rsidRPr="00747EC7">
        <w:t>Table 6 — Semantics of AdaptationSet element</w:t>
      </w:r>
      <w:r w:rsidRPr="003D7D25">
        <w:t>:</w:t>
      </w:r>
    </w:p>
    <w:p w14:paraId="16F02DA4" w14:textId="77777777" w:rsidR="00747EC7" w:rsidRPr="00747EC7" w:rsidRDefault="00747EC7" w:rsidP="00747EC7">
      <w:pPr>
        <w:tabs>
          <w:tab w:val="clear" w:pos="403"/>
        </w:tabs>
        <w:spacing w:after="0" w:line="240" w:lineRule="auto"/>
        <w:rPr>
          <w:rFonts w:ascii="Times New Roman" w:eastAsia="SimSun" w:hAnsi="Times New Roman" w:cs="Arial"/>
          <w:bCs/>
          <w:sz w:val="28"/>
          <w:szCs w:val="24"/>
          <w:lang w:eastAsia="zh-CN"/>
        </w:rPr>
      </w:pPr>
    </w:p>
    <w:tbl>
      <w:tblPr>
        <w:tblW w:w="88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09"/>
        <w:gridCol w:w="709"/>
        <w:gridCol w:w="4587"/>
      </w:tblGrid>
      <w:tr w:rsidR="00747EC7" w:rsidRPr="00747EC7" w14:paraId="1B8A527C" w14:textId="77777777" w:rsidTr="00747EC7">
        <w:trPr>
          <w:trHeight w:val="563"/>
        </w:trPr>
        <w:tc>
          <w:tcPr>
            <w:tcW w:w="3510" w:type="dxa"/>
            <w:tcBorders>
              <w:top w:val="single" w:sz="12" w:space="0" w:color="auto"/>
              <w:left w:val="single" w:sz="12" w:space="0" w:color="auto"/>
              <w:bottom w:val="single" w:sz="12" w:space="0" w:color="auto"/>
              <w:right w:val="single" w:sz="4" w:space="0" w:color="auto"/>
            </w:tcBorders>
            <w:hideMark/>
          </w:tcPr>
          <w:p w14:paraId="1713A60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lang w:val="en-US" w:eastAsia="fr-FR"/>
              </w:rPr>
            </w:pPr>
            <w:r w:rsidRPr="00747EC7">
              <w:rPr>
                <w:rFonts w:eastAsia="MS Mincho" w:cs="Arial"/>
                <w:b/>
                <w:bCs/>
                <w:color w:val="000000"/>
                <w:lang w:val="en-US" w:eastAsia="fr-FR"/>
              </w:rPr>
              <w:t>Element or Attribute Name</w:t>
            </w:r>
          </w:p>
        </w:tc>
        <w:tc>
          <w:tcPr>
            <w:tcW w:w="709" w:type="dxa"/>
            <w:tcBorders>
              <w:top w:val="single" w:sz="12" w:space="0" w:color="auto"/>
              <w:left w:val="single" w:sz="4" w:space="0" w:color="auto"/>
              <w:bottom w:val="single" w:sz="12" w:space="0" w:color="auto"/>
              <w:right w:val="single" w:sz="4" w:space="0" w:color="auto"/>
            </w:tcBorders>
          </w:tcPr>
          <w:p w14:paraId="67D60069"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Arial"/>
                <w:b/>
                <w:bCs/>
                <w:color w:val="000000"/>
                <w:lang w:val="en-US" w:eastAsia="fr-FR"/>
              </w:rPr>
            </w:pPr>
            <w:r w:rsidRPr="00747EC7">
              <w:rPr>
                <w:rFonts w:eastAsia="MS Mincho" w:cs="Arial"/>
                <w:b/>
                <w:bCs/>
                <w:color w:val="000000"/>
                <w:lang w:val="en-US" w:eastAsia="fr-FR"/>
              </w:rPr>
              <w:t>Use</w:t>
            </w:r>
          </w:p>
          <w:p w14:paraId="17DAA51F"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sz w:val="20"/>
                <w:szCs w:val="20"/>
                <w:lang w:val="en-US" w:eastAsia="fr-FR"/>
              </w:rPr>
            </w:pPr>
          </w:p>
        </w:tc>
        <w:tc>
          <w:tcPr>
            <w:tcW w:w="4589" w:type="dxa"/>
            <w:tcBorders>
              <w:top w:val="single" w:sz="12" w:space="0" w:color="auto"/>
              <w:left w:val="single" w:sz="4" w:space="0" w:color="auto"/>
              <w:bottom w:val="single" w:sz="12" w:space="0" w:color="auto"/>
              <w:right w:val="single" w:sz="12" w:space="0" w:color="auto"/>
            </w:tcBorders>
          </w:tcPr>
          <w:p w14:paraId="39FD5C1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lang w:val="en-US" w:eastAsia="fr-FR"/>
              </w:rPr>
            </w:pPr>
            <w:r w:rsidRPr="00747EC7">
              <w:rPr>
                <w:rFonts w:eastAsia="MS Mincho" w:cs="Arial"/>
                <w:b/>
                <w:bCs/>
                <w:color w:val="000000"/>
                <w:lang w:val="en-US" w:eastAsia="fr-FR"/>
              </w:rPr>
              <w:t>Description</w:t>
            </w:r>
          </w:p>
          <w:p w14:paraId="47C2E9A6"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sz w:val="20"/>
                <w:szCs w:val="20"/>
                <w:lang w:val="en-US" w:eastAsia="fr-FR"/>
              </w:rPr>
            </w:pPr>
          </w:p>
        </w:tc>
      </w:tr>
      <w:tr w:rsidR="00747EC7" w:rsidRPr="00747EC7" w14:paraId="3EF90B38" w14:textId="77777777" w:rsidTr="00747EC7">
        <w:trPr>
          <w:trHeight w:val="563"/>
        </w:trPr>
        <w:tc>
          <w:tcPr>
            <w:tcW w:w="3510" w:type="dxa"/>
            <w:tcBorders>
              <w:top w:val="single" w:sz="12" w:space="0" w:color="auto"/>
              <w:left w:val="single" w:sz="12" w:space="0" w:color="auto"/>
              <w:bottom w:val="single" w:sz="4" w:space="0" w:color="auto"/>
              <w:right w:val="single" w:sz="4" w:space="0" w:color="auto"/>
            </w:tcBorders>
          </w:tcPr>
          <w:p w14:paraId="248B15F9"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Courier New"/>
                <w:b/>
                <w:bCs/>
                <w:color w:val="000000"/>
                <w:lang w:val="en-US" w:eastAsia="fr-FR"/>
              </w:rPr>
            </w:pPr>
            <w:r w:rsidRPr="00747EC7">
              <w:rPr>
                <w:rFonts w:eastAsia="MS Mincho"/>
                <w:b/>
                <w:bCs/>
                <w:color w:val="000000"/>
                <w:lang w:val="en-US" w:eastAsia="fr-FR"/>
              </w:rPr>
              <w:t>AdaptationSet</w:t>
            </w:r>
          </w:p>
          <w:p w14:paraId="06D6AA6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olor w:val="000000"/>
                <w:lang w:val="en-US" w:eastAsia="fr-FR"/>
              </w:rPr>
            </w:pPr>
          </w:p>
        </w:tc>
        <w:tc>
          <w:tcPr>
            <w:tcW w:w="709" w:type="dxa"/>
            <w:tcBorders>
              <w:top w:val="single" w:sz="12" w:space="0" w:color="auto"/>
              <w:left w:val="single" w:sz="4" w:space="0" w:color="auto"/>
              <w:bottom w:val="single" w:sz="4" w:space="0" w:color="auto"/>
              <w:right w:val="single" w:sz="4" w:space="0" w:color="auto"/>
            </w:tcBorders>
          </w:tcPr>
          <w:p w14:paraId="74540D0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c>
          <w:tcPr>
            <w:tcW w:w="4589" w:type="dxa"/>
            <w:tcBorders>
              <w:top w:val="single" w:sz="12" w:space="0" w:color="auto"/>
              <w:left w:val="single" w:sz="4" w:space="0" w:color="auto"/>
              <w:bottom w:val="single" w:sz="4" w:space="0" w:color="auto"/>
              <w:right w:val="single" w:sz="12" w:space="0" w:color="auto"/>
            </w:tcBorders>
            <w:hideMark/>
          </w:tcPr>
          <w:p w14:paraId="5785B18B"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r w:rsidRPr="00747EC7">
              <w:rPr>
                <w:rFonts w:eastAsia="MS Mincho"/>
                <w:color w:val="000000"/>
                <w:lang w:val="en-US" w:eastAsia="fr-FR"/>
              </w:rPr>
              <w:t>Adaptation Set description.</w:t>
            </w:r>
          </w:p>
        </w:tc>
      </w:tr>
      <w:tr w:rsidR="00747EC7" w:rsidRPr="00747EC7" w14:paraId="59AE5401" w14:textId="77777777" w:rsidTr="00747EC7">
        <w:trPr>
          <w:trHeight w:val="563"/>
        </w:trPr>
        <w:tc>
          <w:tcPr>
            <w:tcW w:w="3510" w:type="dxa"/>
            <w:tcBorders>
              <w:top w:val="single" w:sz="4" w:space="0" w:color="auto"/>
              <w:left w:val="single" w:sz="12" w:space="0" w:color="auto"/>
              <w:bottom w:val="single" w:sz="4" w:space="0" w:color="auto"/>
              <w:right w:val="single" w:sz="4" w:space="0" w:color="auto"/>
            </w:tcBorders>
            <w:hideMark/>
          </w:tcPr>
          <w:p w14:paraId="7330487F"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ourier New"/>
                <w:color w:val="000000"/>
                <w:lang w:val="en-US" w:eastAsia="fr-FR"/>
              </w:rPr>
            </w:pPr>
            <w:r w:rsidRPr="00747EC7">
              <w:rPr>
                <w:rFonts w:eastAsia="MS Mincho"/>
                <w:color w:val="000000"/>
                <w:lang w:val="en-US" w:eastAsia="fr-FR"/>
              </w:rPr>
              <w:t>…</w:t>
            </w:r>
          </w:p>
        </w:tc>
        <w:tc>
          <w:tcPr>
            <w:tcW w:w="709" w:type="dxa"/>
            <w:tcBorders>
              <w:top w:val="single" w:sz="4" w:space="0" w:color="auto"/>
              <w:left w:val="single" w:sz="4" w:space="0" w:color="auto"/>
              <w:bottom w:val="single" w:sz="4" w:space="0" w:color="auto"/>
              <w:right w:val="single" w:sz="4" w:space="0" w:color="auto"/>
            </w:tcBorders>
          </w:tcPr>
          <w:p w14:paraId="1E5A123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c>
          <w:tcPr>
            <w:tcW w:w="4589" w:type="dxa"/>
            <w:tcBorders>
              <w:top w:val="single" w:sz="4" w:space="0" w:color="auto"/>
              <w:left w:val="single" w:sz="4" w:space="0" w:color="auto"/>
              <w:bottom w:val="single" w:sz="4" w:space="0" w:color="auto"/>
              <w:right w:val="single" w:sz="12" w:space="0" w:color="auto"/>
            </w:tcBorders>
          </w:tcPr>
          <w:p w14:paraId="0079BF5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r>
      <w:tr w:rsidR="00747EC7" w:rsidRPr="00747EC7" w14:paraId="40B95400" w14:textId="77777777" w:rsidTr="00747EC7">
        <w:trPr>
          <w:trHeight w:val="563"/>
        </w:trPr>
        <w:tc>
          <w:tcPr>
            <w:tcW w:w="3510" w:type="dxa"/>
            <w:tcBorders>
              <w:top w:val="single" w:sz="4" w:space="0" w:color="auto"/>
              <w:left w:val="single" w:sz="12" w:space="0" w:color="auto"/>
              <w:bottom w:val="single" w:sz="12" w:space="0" w:color="auto"/>
              <w:right w:val="single" w:sz="4" w:space="0" w:color="auto"/>
            </w:tcBorders>
            <w:hideMark/>
          </w:tcPr>
          <w:p w14:paraId="0FD99DAF" w14:textId="77777777" w:rsidR="00747EC7" w:rsidRPr="00747EC7" w:rsidRDefault="00747EC7" w:rsidP="00747EC7">
            <w:pPr>
              <w:tabs>
                <w:tab w:val="clear" w:pos="403"/>
              </w:tabs>
              <w:autoSpaceDE w:val="0"/>
              <w:autoSpaceDN w:val="0"/>
              <w:adjustRightInd w:val="0"/>
              <w:spacing w:before="60" w:after="60" w:line="240" w:lineRule="auto"/>
              <w:jc w:val="left"/>
              <w:rPr>
                <w:rFonts w:ascii="Courier New" w:eastAsia="MS Mincho" w:hAnsi="Courier New" w:cs="Courier New"/>
                <w:color w:val="000000"/>
                <w:highlight w:val="yellow"/>
                <w:lang w:val="en-US" w:eastAsia="fr-FR"/>
              </w:rPr>
            </w:pPr>
            <w:r w:rsidRPr="00747EC7">
              <w:rPr>
                <w:rFonts w:ascii="Times New Roman" w:eastAsia="MS Mincho" w:hAnsi="Times New Roman"/>
                <w:color w:val="000000"/>
                <w:highlight w:val="yellow"/>
                <w:lang w:val="en-US" w:eastAsia="fr-FR"/>
              </w:rPr>
              <w:t>@</w:t>
            </w:r>
            <w:r w:rsidRPr="00747EC7">
              <w:rPr>
                <w:rFonts w:ascii="Times New Roman" w:eastAsia="MS Mincho" w:hAnsi="Times New Roman"/>
                <w:color w:val="000000"/>
                <w:sz w:val="20"/>
                <w:szCs w:val="20"/>
                <w:highlight w:val="yellow"/>
                <w:lang w:val="en-US" w:eastAsia="fr-FR"/>
              </w:rPr>
              <w:t>targetScreenOrientation</w:t>
            </w:r>
          </w:p>
        </w:tc>
        <w:tc>
          <w:tcPr>
            <w:tcW w:w="709" w:type="dxa"/>
            <w:tcBorders>
              <w:top w:val="single" w:sz="4" w:space="0" w:color="auto"/>
              <w:left w:val="single" w:sz="4" w:space="0" w:color="auto"/>
              <w:bottom w:val="single" w:sz="12" w:space="0" w:color="auto"/>
              <w:right w:val="single" w:sz="4" w:space="0" w:color="auto"/>
            </w:tcBorders>
            <w:hideMark/>
          </w:tcPr>
          <w:p w14:paraId="2A82F00F"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O</w:t>
            </w:r>
          </w:p>
        </w:tc>
        <w:tc>
          <w:tcPr>
            <w:tcW w:w="4589" w:type="dxa"/>
            <w:tcBorders>
              <w:top w:val="single" w:sz="4" w:space="0" w:color="auto"/>
              <w:left w:val="single" w:sz="4" w:space="0" w:color="auto"/>
              <w:bottom w:val="single" w:sz="12" w:space="0" w:color="auto"/>
              <w:right w:val="single" w:sz="12" w:space="0" w:color="auto"/>
            </w:tcBorders>
          </w:tcPr>
          <w:p w14:paraId="7C402CB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specifies a comma-separated list of targeted screen orientations for displaying the video component of this Adaptation Set.</w:t>
            </w:r>
          </w:p>
          <w:p w14:paraId="45013ED4"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5BD421B5"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The values are:</w:t>
            </w:r>
          </w:p>
          <w:p w14:paraId="3BCF96BB" w14:textId="77777777" w:rsidR="00874532" w:rsidRDefault="00874532"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Pr>
                <w:rFonts w:eastAsia="MS Mincho" w:cs="Cambria"/>
                <w:color w:val="000000"/>
                <w:sz w:val="20"/>
                <w:szCs w:val="20"/>
                <w:highlight w:val="yellow"/>
                <w:lang w:val="en-US" w:eastAsia="fr-FR"/>
              </w:rPr>
              <w:t>any</w:t>
            </w:r>
          </w:p>
          <w:p w14:paraId="741DFCA9" w14:textId="4E9B6DC9"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landscape</w:t>
            </w:r>
          </w:p>
          <w:p w14:paraId="3D72CC6A" w14:textId="77777777"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portrait</w:t>
            </w:r>
          </w:p>
          <w:p w14:paraId="7818E36F" w14:textId="77777777"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square</w:t>
            </w:r>
          </w:p>
          <w:p w14:paraId="6DDA0CDC"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612C57B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Where “any” means that the video component is adapted to any screen orientation, “landscape”, “portrait” means that the video component is adapted to, respectively, portrait and landscape screen orientations as defined in 2.1 Screen orientation types in W3C Screen Orientation, and “square” means when the screen aspect ratio is equal to 1.0.</w:t>
            </w:r>
          </w:p>
          <w:p w14:paraId="7D2E1B29"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6CD4F49E"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If not present, the value is “any”.</w:t>
            </w:r>
          </w:p>
        </w:tc>
      </w:tr>
    </w:tbl>
    <w:p w14:paraId="2E162024" w14:textId="21DBD301" w:rsidR="00747EC7" w:rsidRPr="00747EC7" w:rsidRDefault="00747EC7" w:rsidP="00747EC7">
      <w:pPr>
        <w:rPr>
          <w:lang w:eastAsia="ja-JP"/>
        </w:rPr>
      </w:pPr>
    </w:p>
    <w:p w14:paraId="093AA39C" w14:textId="261490E1" w:rsidR="00747EC7" w:rsidRDefault="00747EC7" w:rsidP="00747EC7">
      <w:pPr>
        <w:rPr>
          <w:lang w:eastAsia="ja-JP"/>
        </w:rPr>
      </w:pPr>
    </w:p>
    <w:p w14:paraId="571FD3C7" w14:textId="2259B404" w:rsidR="003634BB" w:rsidRPr="00747EC7" w:rsidRDefault="003634BB" w:rsidP="003634BB">
      <w:pPr>
        <w:rPr>
          <w:lang w:eastAsia="ja-JP"/>
        </w:rPr>
      </w:pPr>
      <w:r w:rsidRPr="00747EC7">
        <w:rPr>
          <w:lang w:eastAsia="ja-JP"/>
        </w:rPr>
        <w:t xml:space="preserve">Clause </w:t>
      </w:r>
      <w:r>
        <w:rPr>
          <w:lang w:eastAsia="ja-JP"/>
        </w:rPr>
        <w:t>5.3.3.3 XML syntax</w:t>
      </w:r>
    </w:p>
    <w:p w14:paraId="2691529A" w14:textId="0ABBD39E" w:rsidR="003634BB" w:rsidRDefault="003634BB" w:rsidP="003634BB">
      <w:pPr>
        <w:pStyle w:val="AMDInstruction"/>
      </w:pPr>
      <w:r>
        <w:t xml:space="preserve">Replace Clause </w:t>
      </w:r>
      <w:r>
        <w:rPr>
          <w:lang w:eastAsia="ja-JP"/>
        </w:rPr>
        <w:t>5.3.3.3 XML syntax as follows:</w:t>
      </w:r>
    </w:p>
    <w:tbl>
      <w:tblPr>
        <w:tblStyle w:val="TableGrid"/>
        <w:tblW w:w="0" w:type="auto"/>
        <w:tblLook w:val="04A0" w:firstRow="1" w:lastRow="0" w:firstColumn="1" w:lastColumn="0" w:noHBand="0" w:noVBand="1"/>
      </w:tblPr>
      <w:tblGrid>
        <w:gridCol w:w="9741"/>
      </w:tblGrid>
      <w:tr w:rsidR="003634BB" w14:paraId="1F0BC153" w14:textId="77777777" w:rsidTr="003634BB">
        <w:tc>
          <w:tcPr>
            <w:tcW w:w="9741" w:type="dxa"/>
            <w:tcBorders>
              <w:top w:val="single" w:sz="4" w:space="0" w:color="auto"/>
              <w:left w:val="single" w:sz="4" w:space="0" w:color="auto"/>
              <w:bottom w:val="single" w:sz="4" w:space="0" w:color="auto"/>
              <w:right w:val="single" w:sz="4" w:space="0" w:color="auto"/>
            </w:tcBorders>
          </w:tcPr>
          <w:p w14:paraId="301AB04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&lt;xs:complexType</w:t>
            </w:r>
            <w:r>
              <w:rPr>
                <w:rFonts w:ascii="Courier New" w:hAnsi="Courier New" w:cs="Courier New"/>
                <w:sz w:val="16"/>
                <w:szCs w:val="16"/>
              </w:rPr>
              <w:t xml:space="preserve"> name=</w:t>
            </w:r>
            <w:r>
              <w:rPr>
                <w:rFonts w:ascii="Courier New" w:hAnsi="Courier New" w:cs="Courier New"/>
                <w:i/>
                <w:iCs/>
                <w:sz w:val="16"/>
                <w:szCs w:val="16"/>
              </w:rPr>
              <w:t>"AdaptationSetType"</w:t>
            </w:r>
            <w:r>
              <w:rPr>
                <w:rFonts w:ascii="Courier New" w:hAnsi="Courier New" w:cs="Courier New"/>
                <w:b/>
                <w:bCs/>
                <w:sz w:val="16"/>
                <w:szCs w:val="16"/>
              </w:rPr>
              <w:t>&gt;</w:t>
            </w:r>
          </w:p>
          <w:p w14:paraId="0AE9F8A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4CF3E1A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Adaptation Set </w:t>
            </w:r>
            <w:r>
              <w:rPr>
                <w:rFonts w:ascii="Courier New" w:hAnsi="Courier New" w:cs="Courier New"/>
                <w:b/>
                <w:bCs/>
                <w:sz w:val="16"/>
                <w:szCs w:val="16"/>
              </w:rPr>
              <w:t>&lt;/xs:documentation&gt;</w:t>
            </w:r>
          </w:p>
          <w:p w14:paraId="4323864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44E217E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w:t>
            </w:r>
            <w:r>
              <w:rPr>
                <w:rFonts w:ascii="Courier New" w:hAnsi="Courier New" w:cs="Courier New"/>
                <w:b/>
                <w:bCs/>
                <w:sz w:val="16"/>
                <w:szCs w:val="16"/>
              </w:rPr>
              <w:t>&lt;xs:complexContent&gt;</w:t>
            </w:r>
          </w:p>
          <w:p w14:paraId="30BB937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&lt;xs:extension</w:t>
            </w:r>
            <w:r>
              <w:rPr>
                <w:rFonts w:ascii="Courier New" w:hAnsi="Courier New" w:cs="Courier New"/>
                <w:sz w:val="16"/>
                <w:szCs w:val="16"/>
              </w:rPr>
              <w:t xml:space="preserve"> base=</w:t>
            </w:r>
            <w:r>
              <w:rPr>
                <w:rFonts w:ascii="Courier New" w:hAnsi="Courier New" w:cs="Courier New"/>
                <w:i/>
                <w:iCs/>
                <w:sz w:val="16"/>
                <w:szCs w:val="16"/>
              </w:rPr>
              <w:t>"RepresentationBaseType"</w:t>
            </w:r>
            <w:r>
              <w:rPr>
                <w:rFonts w:ascii="Courier New" w:hAnsi="Courier New" w:cs="Courier New"/>
                <w:b/>
                <w:bCs/>
                <w:sz w:val="16"/>
                <w:szCs w:val="16"/>
              </w:rPr>
              <w:t>&gt;</w:t>
            </w:r>
          </w:p>
          <w:p w14:paraId="27143B6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&lt;xs:sequence&gt;</w:t>
            </w:r>
          </w:p>
          <w:p w14:paraId="4E38BB9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"Accessibility"</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71812E0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03D08A4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"Role"</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7255B2D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5CB9BA6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"Rating"</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5C31613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6D6BDD6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"Viewpoint"</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5E1A023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26D33E8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"ContentComponent"</w:t>
            </w:r>
            <w:r>
              <w:rPr>
                <w:rFonts w:ascii="Courier New" w:hAnsi="Courier New" w:cs="Courier New"/>
                <w:sz w:val="16"/>
                <w:szCs w:val="16"/>
              </w:rPr>
              <w:t xml:space="preserve"> type=</w:t>
            </w:r>
            <w:r>
              <w:rPr>
                <w:rFonts w:ascii="Courier New" w:hAnsi="Courier New" w:cs="Courier New"/>
                <w:i/>
                <w:iCs/>
                <w:sz w:val="16"/>
                <w:szCs w:val="16"/>
              </w:rPr>
              <w:t>"ContentComponentType"</w:t>
            </w:r>
            <w:r>
              <w:rPr>
                <w:rFonts w:ascii="Courier New" w:hAnsi="Courier New" w:cs="Courier New"/>
                <w:sz w:val="16"/>
                <w:szCs w:val="16"/>
              </w:rPr>
              <w:t xml:space="preserve"> minOccurs=</w:t>
            </w:r>
            <w:r>
              <w:rPr>
                <w:rFonts w:ascii="Courier New" w:hAnsi="Courier New" w:cs="Courier New"/>
                <w:i/>
                <w:iCs/>
                <w:sz w:val="16"/>
                <w:szCs w:val="16"/>
              </w:rPr>
              <w:t>"0"</w:t>
            </w:r>
          </w:p>
          <w:p w14:paraId="1111F53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78F91FB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"BaseURL"</w:t>
            </w:r>
            <w:r>
              <w:rPr>
                <w:rFonts w:ascii="Courier New" w:hAnsi="Courier New" w:cs="Courier New"/>
                <w:sz w:val="16"/>
                <w:szCs w:val="16"/>
              </w:rPr>
              <w:t xml:space="preserve"> type=</w:t>
            </w:r>
            <w:r>
              <w:rPr>
                <w:rFonts w:ascii="Courier New" w:hAnsi="Courier New" w:cs="Courier New"/>
                <w:i/>
                <w:iCs/>
                <w:sz w:val="16"/>
                <w:szCs w:val="16"/>
              </w:rPr>
              <w:t>"BaseURLType"</w:t>
            </w:r>
            <w:r>
              <w:rPr>
                <w:rFonts w:ascii="Courier New" w:hAnsi="Courier New" w:cs="Courier New"/>
                <w:sz w:val="16"/>
                <w:szCs w:val="16"/>
              </w:rPr>
              <w:t xml:space="preserve"> minOccurs=</w:t>
            </w:r>
            <w:r>
              <w:rPr>
                <w:rFonts w:ascii="Courier New" w:hAnsi="Courier New" w:cs="Courier New"/>
                <w:i/>
                <w:iCs/>
                <w:sz w:val="16"/>
                <w:szCs w:val="16"/>
              </w:rPr>
              <w:t>"0"</w:t>
            </w:r>
          </w:p>
          <w:p w14:paraId="0842761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78B821D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"RequestParam"</w:t>
            </w:r>
            <w:r>
              <w:rPr>
                <w:rFonts w:ascii="Courier New" w:hAnsi="Courier New" w:cs="Courier New"/>
                <w:sz w:val="16"/>
                <w:szCs w:val="16"/>
              </w:rPr>
              <w:t xml:space="preserve"> type=</w:t>
            </w:r>
            <w:r>
              <w:rPr>
                <w:rFonts w:ascii="Courier New" w:hAnsi="Courier New" w:cs="Courier New"/>
                <w:i/>
                <w:iCs/>
                <w:sz w:val="16"/>
                <w:szCs w:val="16"/>
              </w:rPr>
              <w:t>"up:ExtendedUrlInfoType"</w:t>
            </w:r>
            <w:r>
              <w:rPr>
                <w:rFonts w:ascii="Courier New" w:hAnsi="Courier New" w:cs="Courier New"/>
                <w:sz w:val="16"/>
                <w:szCs w:val="16"/>
              </w:rPr>
              <w:t xml:space="preserve"> minOccurs=</w:t>
            </w:r>
            <w:r>
              <w:rPr>
                <w:rFonts w:ascii="Courier New" w:hAnsi="Courier New" w:cs="Courier New"/>
                <w:i/>
                <w:iCs/>
                <w:sz w:val="16"/>
                <w:szCs w:val="16"/>
              </w:rPr>
              <w:t>"0"</w:t>
            </w:r>
          </w:p>
          <w:p w14:paraId="4AF75A1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0E484A0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"SegmentBase"</w:t>
            </w:r>
            <w:r>
              <w:rPr>
                <w:rFonts w:ascii="Courier New" w:hAnsi="Courier New" w:cs="Courier New"/>
                <w:sz w:val="16"/>
                <w:szCs w:val="16"/>
              </w:rPr>
              <w:t xml:space="preserve"> type=</w:t>
            </w:r>
            <w:r>
              <w:rPr>
                <w:rFonts w:ascii="Courier New" w:hAnsi="Courier New" w:cs="Courier New"/>
                <w:i/>
                <w:iCs/>
                <w:sz w:val="16"/>
                <w:szCs w:val="16"/>
              </w:rPr>
              <w:t>"SegmentBaseType"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064C92F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"SegmentList"</w:t>
            </w:r>
            <w:r>
              <w:rPr>
                <w:rFonts w:ascii="Courier New" w:hAnsi="Courier New" w:cs="Courier New"/>
                <w:sz w:val="16"/>
                <w:szCs w:val="16"/>
              </w:rPr>
              <w:t xml:space="preserve"> type=</w:t>
            </w:r>
            <w:r>
              <w:rPr>
                <w:rFonts w:ascii="Courier New" w:hAnsi="Courier New" w:cs="Courier New"/>
                <w:i/>
                <w:iCs/>
                <w:sz w:val="16"/>
                <w:szCs w:val="16"/>
              </w:rPr>
              <w:t>"SegmentListType"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42AEA57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"SegmentTemplate"</w:t>
            </w:r>
            <w:r>
              <w:rPr>
                <w:rFonts w:ascii="Courier New" w:hAnsi="Courier New" w:cs="Courier New"/>
                <w:sz w:val="16"/>
                <w:szCs w:val="16"/>
              </w:rPr>
              <w:t xml:space="preserve"> type=</w:t>
            </w:r>
            <w:r>
              <w:rPr>
                <w:rFonts w:ascii="Courier New" w:hAnsi="Courier New" w:cs="Courier New"/>
                <w:i/>
                <w:iCs/>
                <w:sz w:val="16"/>
                <w:szCs w:val="16"/>
              </w:rPr>
              <w:t>"SegmentTemplateType"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410F4FC7"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"Representation"</w:t>
            </w:r>
            <w:r>
              <w:rPr>
                <w:rFonts w:ascii="Courier New" w:hAnsi="Courier New" w:cs="Courier New"/>
                <w:sz w:val="16"/>
                <w:szCs w:val="16"/>
              </w:rPr>
              <w:t xml:space="preserve"> type=</w:t>
            </w:r>
            <w:r>
              <w:rPr>
                <w:rFonts w:ascii="Courier New" w:hAnsi="Courier New" w:cs="Courier New"/>
                <w:i/>
                <w:iCs/>
                <w:sz w:val="16"/>
                <w:szCs w:val="16"/>
              </w:rPr>
              <w:t>"RepresentationType"</w:t>
            </w:r>
            <w:r>
              <w:rPr>
                <w:rFonts w:ascii="Courier New" w:hAnsi="Courier New" w:cs="Courier New"/>
                <w:sz w:val="16"/>
                <w:szCs w:val="16"/>
              </w:rPr>
              <w:t xml:space="preserve"> minOccurs=</w:t>
            </w:r>
            <w:r>
              <w:rPr>
                <w:rFonts w:ascii="Courier New" w:hAnsi="Courier New" w:cs="Courier New"/>
                <w:i/>
                <w:iCs/>
                <w:sz w:val="16"/>
                <w:szCs w:val="16"/>
              </w:rPr>
              <w:t>"0"</w:t>
            </w:r>
          </w:p>
          <w:p w14:paraId="037454F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20EB7E9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&lt;/xs:sequence&gt;</w:t>
            </w:r>
          </w:p>
          <w:p w14:paraId="0565177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"xlink:href"</w:t>
            </w:r>
            <w:r>
              <w:rPr>
                <w:rFonts w:ascii="Courier New" w:hAnsi="Courier New" w:cs="Courier New"/>
                <w:b/>
                <w:bCs/>
                <w:sz w:val="16"/>
                <w:szCs w:val="16"/>
              </w:rPr>
              <w:t>/&gt;</w:t>
            </w:r>
          </w:p>
          <w:p w14:paraId="12410BB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"xlink:actuate"</w:t>
            </w:r>
            <w:r>
              <w:rPr>
                <w:rFonts w:ascii="Courier New" w:hAnsi="Courier New" w:cs="Courier New"/>
                <w:sz w:val="16"/>
                <w:szCs w:val="16"/>
              </w:rPr>
              <w:t xml:space="preserve"> default=</w:t>
            </w:r>
            <w:r>
              <w:rPr>
                <w:rFonts w:ascii="Courier New" w:hAnsi="Courier New" w:cs="Courier New"/>
                <w:i/>
                <w:iCs/>
                <w:sz w:val="16"/>
                <w:szCs w:val="16"/>
              </w:rPr>
              <w:t>"onRequest"</w:t>
            </w:r>
            <w:r>
              <w:rPr>
                <w:rFonts w:ascii="Courier New" w:hAnsi="Courier New" w:cs="Courier New"/>
                <w:b/>
                <w:bCs/>
                <w:sz w:val="16"/>
                <w:szCs w:val="16"/>
              </w:rPr>
              <w:t>/&gt;</w:t>
            </w:r>
          </w:p>
          <w:p w14:paraId="646A3D4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"xlink:type"</w:t>
            </w:r>
            <w:r>
              <w:rPr>
                <w:rFonts w:ascii="Courier New" w:hAnsi="Courier New" w:cs="Courier New"/>
                <w:sz w:val="16"/>
                <w:szCs w:val="16"/>
              </w:rPr>
              <w:t xml:space="preserve"> fixed=</w:t>
            </w:r>
            <w:r>
              <w:rPr>
                <w:rFonts w:ascii="Courier New" w:hAnsi="Courier New" w:cs="Courier New"/>
                <w:i/>
                <w:iCs/>
                <w:sz w:val="16"/>
                <w:szCs w:val="16"/>
              </w:rPr>
              <w:t>"simple"</w:t>
            </w:r>
            <w:r>
              <w:rPr>
                <w:rFonts w:ascii="Courier New" w:hAnsi="Courier New" w:cs="Courier New"/>
                <w:b/>
                <w:bCs/>
                <w:sz w:val="16"/>
                <w:szCs w:val="16"/>
              </w:rPr>
              <w:t>/&gt;</w:t>
            </w:r>
          </w:p>
          <w:p w14:paraId="5ABD743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"xlink:show"</w:t>
            </w:r>
            <w:r>
              <w:rPr>
                <w:rFonts w:ascii="Courier New" w:hAnsi="Courier New" w:cs="Courier New"/>
                <w:sz w:val="16"/>
                <w:szCs w:val="16"/>
              </w:rPr>
              <w:t xml:space="preserve"> fixed=</w:t>
            </w:r>
            <w:r>
              <w:rPr>
                <w:rFonts w:ascii="Courier New" w:hAnsi="Courier New" w:cs="Courier New"/>
                <w:i/>
                <w:iCs/>
                <w:sz w:val="16"/>
                <w:szCs w:val="16"/>
              </w:rPr>
              <w:t>"embed"</w:t>
            </w:r>
            <w:r>
              <w:rPr>
                <w:rFonts w:ascii="Courier New" w:hAnsi="Courier New" w:cs="Courier New"/>
                <w:b/>
                <w:bCs/>
                <w:sz w:val="16"/>
                <w:szCs w:val="16"/>
              </w:rPr>
              <w:t>/&gt;</w:t>
            </w:r>
          </w:p>
          <w:p w14:paraId="311FDD9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"id"</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2E839BA7"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"group"</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09F7344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"lang"</w:t>
            </w:r>
            <w:r>
              <w:rPr>
                <w:rFonts w:ascii="Courier New" w:hAnsi="Courier New" w:cs="Courier New"/>
                <w:sz w:val="16"/>
                <w:szCs w:val="16"/>
              </w:rPr>
              <w:t xml:space="preserve"> type=</w:t>
            </w:r>
            <w:r>
              <w:rPr>
                <w:rFonts w:ascii="Courier New" w:hAnsi="Courier New" w:cs="Courier New"/>
                <w:i/>
                <w:iCs/>
                <w:sz w:val="16"/>
                <w:szCs w:val="16"/>
              </w:rPr>
              <w:t>"xs:language"</w:t>
            </w:r>
            <w:r>
              <w:rPr>
                <w:rFonts w:ascii="Courier New" w:hAnsi="Courier New" w:cs="Courier New"/>
                <w:b/>
                <w:bCs/>
                <w:sz w:val="16"/>
                <w:szCs w:val="16"/>
              </w:rPr>
              <w:t>/&gt;</w:t>
            </w:r>
          </w:p>
          <w:p w14:paraId="6B9E579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"contentType"</w:t>
            </w:r>
            <w:r>
              <w:rPr>
                <w:rFonts w:ascii="Courier New" w:hAnsi="Courier New" w:cs="Courier New"/>
                <w:sz w:val="16"/>
                <w:szCs w:val="16"/>
              </w:rPr>
              <w:t xml:space="preserve"> type=</w:t>
            </w:r>
            <w:r>
              <w:rPr>
                <w:rFonts w:ascii="Courier New" w:hAnsi="Courier New" w:cs="Courier New"/>
                <w:i/>
                <w:iCs/>
                <w:sz w:val="16"/>
                <w:szCs w:val="16"/>
              </w:rPr>
              <w:t>"RFC6838ContentTypeType"</w:t>
            </w:r>
            <w:r>
              <w:rPr>
                <w:rFonts w:ascii="Courier New" w:hAnsi="Courier New" w:cs="Courier New"/>
                <w:b/>
                <w:bCs/>
                <w:sz w:val="16"/>
                <w:szCs w:val="16"/>
              </w:rPr>
              <w:t>/&gt;</w:t>
            </w:r>
          </w:p>
          <w:p w14:paraId="34944CF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"par"</w:t>
            </w:r>
            <w:r>
              <w:rPr>
                <w:rFonts w:ascii="Courier New" w:hAnsi="Courier New" w:cs="Courier New"/>
                <w:sz w:val="16"/>
                <w:szCs w:val="16"/>
              </w:rPr>
              <w:t xml:space="preserve"> type=</w:t>
            </w:r>
            <w:r>
              <w:rPr>
                <w:rFonts w:ascii="Courier New" w:hAnsi="Courier New" w:cs="Courier New"/>
                <w:i/>
                <w:iCs/>
                <w:sz w:val="16"/>
                <w:szCs w:val="16"/>
              </w:rPr>
              <w:t>"RatioType"</w:t>
            </w:r>
            <w:r>
              <w:rPr>
                <w:rFonts w:ascii="Courier New" w:hAnsi="Courier New" w:cs="Courier New"/>
                <w:b/>
                <w:bCs/>
                <w:sz w:val="16"/>
                <w:szCs w:val="16"/>
              </w:rPr>
              <w:t>/&gt;</w:t>
            </w:r>
          </w:p>
          <w:p w14:paraId="3858C63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"minBandwidth"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40B81D5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"maxBandwidth"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72498C4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0A96A60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506C43A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"minHeight"</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646CCAE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"maxHeight"</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3CB0698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"minFrameRate"</w:t>
            </w:r>
            <w:r>
              <w:rPr>
                <w:rFonts w:ascii="Courier New" w:hAnsi="Courier New" w:cs="Courier New"/>
                <w:sz w:val="16"/>
                <w:szCs w:val="16"/>
              </w:rPr>
              <w:t xml:space="preserve"> type=</w:t>
            </w:r>
            <w:r>
              <w:rPr>
                <w:rFonts w:ascii="Courier New" w:hAnsi="Courier New" w:cs="Courier New"/>
                <w:i/>
                <w:iCs/>
                <w:sz w:val="16"/>
                <w:szCs w:val="16"/>
              </w:rPr>
              <w:t>"FrameRateType"</w:t>
            </w:r>
            <w:r>
              <w:rPr>
                <w:rFonts w:ascii="Courier New" w:hAnsi="Courier New" w:cs="Courier New"/>
                <w:b/>
                <w:bCs/>
                <w:sz w:val="16"/>
                <w:szCs w:val="16"/>
              </w:rPr>
              <w:t>/&gt;</w:t>
            </w:r>
          </w:p>
          <w:p w14:paraId="56CCBAE1" w14:textId="6B8D9CEC" w:rsidR="003634BB" w:rsidRDefault="003634BB">
            <w:pPr>
              <w:widowControl w:val="0"/>
              <w:autoSpaceDE w:val="0"/>
              <w:autoSpaceDN w:val="0"/>
              <w:adjustRightInd w:val="0"/>
              <w:spacing w:after="0" w:line="240" w:lineRule="auto"/>
              <w:rPr>
                <w:rFonts w:ascii="Courier New" w:hAnsi="Courier New" w:cs="Courier New"/>
                <w:b/>
                <w:bCs/>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"maxFrameRate"</w:t>
            </w:r>
            <w:r>
              <w:rPr>
                <w:rFonts w:ascii="Courier New" w:hAnsi="Courier New" w:cs="Courier New"/>
                <w:sz w:val="16"/>
                <w:szCs w:val="16"/>
              </w:rPr>
              <w:t xml:space="preserve"> type=</w:t>
            </w:r>
            <w:r>
              <w:rPr>
                <w:rFonts w:ascii="Courier New" w:hAnsi="Courier New" w:cs="Courier New"/>
                <w:i/>
                <w:iCs/>
                <w:sz w:val="16"/>
                <w:szCs w:val="16"/>
              </w:rPr>
              <w:t>"FrameRateType"</w:t>
            </w:r>
            <w:r>
              <w:rPr>
                <w:rFonts w:ascii="Courier New" w:hAnsi="Courier New" w:cs="Courier New"/>
                <w:b/>
                <w:bCs/>
                <w:sz w:val="16"/>
                <w:szCs w:val="16"/>
              </w:rPr>
              <w:t>/&gt;</w:t>
            </w:r>
          </w:p>
          <w:p w14:paraId="32CA019F" w14:textId="35CBA880"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sidRPr="003634BB">
              <w:rPr>
                <w:rFonts w:ascii="Courier New" w:hAnsi="Courier New" w:cs="Courier New"/>
                <w:b/>
                <w:bCs/>
                <w:sz w:val="16"/>
                <w:szCs w:val="16"/>
                <w:highlight w:val="yellow"/>
              </w:rPr>
              <w:t>&lt;xs:attribute</w:t>
            </w:r>
            <w:r w:rsidRPr="003634BB">
              <w:rPr>
                <w:rFonts w:ascii="Courier New" w:hAnsi="Courier New" w:cs="Courier New"/>
                <w:sz w:val="16"/>
                <w:szCs w:val="16"/>
                <w:highlight w:val="yellow"/>
              </w:rPr>
              <w:t xml:space="preserve"> name=</w:t>
            </w:r>
            <w:r w:rsidRPr="003634BB">
              <w:rPr>
                <w:rFonts w:ascii="Courier New" w:hAnsi="Courier New" w:cs="Courier New"/>
                <w:i/>
                <w:iCs/>
                <w:sz w:val="16"/>
                <w:szCs w:val="16"/>
                <w:highlight w:val="yellow"/>
              </w:rPr>
              <w:t>"targetScreenOrientation"</w:t>
            </w:r>
            <w:r w:rsidRPr="003634BB">
              <w:rPr>
                <w:rFonts w:ascii="Courier New" w:hAnsi="Courier New" w:cs="Courier New"/>
                <w:sz w:val="16"/>
                <w:szCs w:val="16"/>
                <w:highlight w:val="yellow"/>
              </w:rPr>
              <w:t xml:space="preserve"> type=</w:t>
            </w:r>
            <w:r w:rsidRPr="003634BB">
              <w:rPr>
                <w:rFonts w:ascii="Courier New" w:hAnsi="Courier New" w:cs="Courier New"/>
                <w:i/>
                <w:iCs/>
                <w:sz w:val="16"/>
                <w:szCs w:val="16"/>
                <w:highlight w:val="yellow"/>
              </w:rPr>
              <w:t>"ScreenOrientation"</w:t>
            </w:r>
            <w:r w:rsidRPr="003634BB">
              <w:rPr>
                <w:rFonts w:ascii="Courier New" w:hAnsi="Courier New" w:cs="Courier New"/>
                <w:b/>
                <w:bCs/>
                <w:sz w:val="16"/>
                <w:szCs w:val="16"/>
                <w:highlight w:val="yellow"/>
              </w:rPr>
              <w:t>/&gt;</w:t>
            </w:r>
          </w:p>
          <w:p w14:paraId="072A1FF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"segmentAlignment"</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sz w:val="16"/>
                <w:szCs w:val="16"/>
              </w:rPr>
              <w:t xml:space="preserve"> default=</w:t>
            </w:r>
            <w:r>
              <w:rPr>
                <w:rFonts w:ascii="Courier New" w:hAnsi="Courier New" w:cs="Courier New"/>
                <w:i/>
                <w:iCs/>
                <w:sz w:val="16"/>
                <w:szCs w:val="16"/>
              </w:rPr>
              <w:t>"false"</w:t>
            </w:r>
            <w:r>
              <w:rPr>
                <w:rFonts w:ascii="Courier New" w:hAnsi="Courier New" w:cs="Courier New"/>
                <w:b/>
                <w:bCs/>
                <w:sz w:val="16"/>
                <w:szCs w:val="16"/>
              </w:rPr>
              <w:t>/&gt;</w:t>
            </w:r>
          </w:p>
          <w:p w14:paraId="7619BCA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"subsegmentAlignment"</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sz w:val="16"/>
                <w:szCs w:val="16"/>
              </w:rPr>
              <w:t xml:space="preserve"> default=</w:t>
            </w:r>
            <w:r>
              <w:rPr>
                <w:rFonts w:ascii="Courier New" w:hAnsi="Courier New" w:cs="Courier New"/>
                <w:i/>
                <w:iCs/>
                <w:sz w:val="16"/>
                <w:szCs w:val="16"/>
              </w:rPr>
              <w:t>"false"</w:t>
            </w:r>
            <w:r>
              <w:rPr>
                <w:rFonts w:ascii="Courier New" w:hAnsi="Courier New" w:cs="Courier New"/>
                <w:b/>
                <w:bCs/>
                <w:sz w:val="16"/>
                <w:szCs w:val="16"/>
              </w:rPr>
              <w:t>/&gt;</w:t>
            </w:r>
          </w:p>
          <w:p w14:paraId="5466E55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"subsegmentStartsWithSAP"</w:t>
            </w:r>
            <w:r>
              <w:rPr>
                <w:rFonts w:ascii="Courier New" w:hAnsi="Courier New" w:cs="Courier New"/>
                <w:sz w:val="16"/>
                <w:szCs w:val="16"/>
              </w:rPr>
              <w:t xml:space="preserve"> type=</w:t>
            </w:r>
            <w:r>
              <w:rPr>
                <w:rFonts w:ascii="Courier New" w:hAnsi="Courier New" w:cs="Courier New"/>
                <w:i/>
                <w:iCs/>
                <w:sz w:val="16"/>
                <w:szCs w:val="16"/>
              </w:rPr>
              <w:t>"SAPType"</w:t>
            </w:r>
            <w:r>
              <w:rPr>
                <w:rFonts w:ascii="Courier New" w:hAnsi="Courier New" w:cs="Courier New"/>
                <w:sz w:val="16"/>
                <w:szCs w:val="16"/>
              </w:rPr>
              <w:t xml:space="preserve"> default=</w:t>
            </w:r>
            <w:r>
              <w:rPr>
                <w:rFonts w:ascii="Courier New" w:hAnsi="Courier New" w:cs="Courier New"/>
                <w:i/>
                <w:iCs/>
                <w:sz w:val="16"/>
                <w:szCs w:val="16"/>
              </w:rPr>
              <w:t>"0"</w:t>
            </w:r>
            <w:r>
              <w:rPr>
                <w:rFonts w:ascii="Courier New" w:hAnsi="Courier New" w:cs="Courier New"/>
                <w:b/>
                <w:bCs/>
                <w:sz w:val="16"/>
                <w:szCs w:val="16"/>
              </w:rPr>
              <w:t>/&gt;</w:t>
            </w:r>
          </w:p>
          <w:p w14:paraId="0A7883D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"bitstreamSwitching"</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b/>
                <w:bCs/>
                <w:sz w:val="16"/>
                <w:szCs w:val="16"/>
              </w:rPr>
              <w:t>/&gt;</w:t>
            </w:r>
          </w:p>
          <w:p w14:paraId="4C6664A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"initializationSetRef"</w:t>
            </w:r>
            <w:r>
              <w:rPr>
                <w:rFonts w:ascii="Courier New" w:hAnsi="Courier New" w:cs="Courier New"/>
                <w:sz w:val="16"/>
                <w:szCs w:val="16"/>
              </w:rPr>
              <w:t xml:space="preserve"> type=</w:t>
            </w:r>
            <w:r>
              <w:rPr>
                <w:rFonts w:ascii="Courier New" w:hAnsi="Courier New" w:cs="Courier New"/>
                <w:i/>
                <w:iCs/>
                <w:sz w:val="16"/>
                <w:szCs w:val="16"/>
              </w:rPr>
              <w:t>"UIntVectorType"</w:t>
            </w:r>
            <w:r>
              <w:rPr>
                <w:rFonts w:ascii="Courier New" w:hAnsi="Courier New" w:cs="Courier New"/>
                <w:b/>
                <w:bCs/>
                <w:sz w:val="16"/>
                <w:szCs w:val="16"/>
              </w:rPr>
              <w:t>/&gt;</w:t>
            </w:r>
          </w:p>
          <w:p w14:paraId="0F31736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"initializationPrincipal"</w:t>
            </w:r>
            <w:r>
              <w:rPr>
                <w:rFonts w:ascii="Courier New" w:hAnsi="Courier New" w:cs="Courier New"/>
                <w:sz w:val="16"/>
                <w:szCs w:val="16"/>
              </w:rPr>
              <w:t xml:space="preserve"> type=</w:t>
            </w:r>
            <w:r>
              <w:rPr>
                <w:rFonts w:ascii="Courier New" w:hAnsi="Courier New" w:cs="Courier New"/>
                <w:i/>
                <w:iCs/>
                <w:sz w:val="16"/>
                <w:szCs w:val="16"/>
              </w:rPr>
              <w:t>"xs:anyURI"</w:t>
            </w:r>
            <w:r>
              <w:rPr>
                <w:rFonts w:ascii="Courier New" w:hAnsi="Courier New" w:cs="Courier New"/>
                <w:b/>
                <w:bCs/>
                <w:sz w:val="16"/>
                <w:szCs w:val="16"/>
              </w:rPr>
              <w:t>/&gt;</w:t>
            </w:r>
          </w:p>
          <w:p w14:paraId="77250A7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&lt;/xs:extension&gt;</w:t>
            </w:r>
          </w:p>
          <w:p w14:paraId="63102F9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&lt;/xs:complexContent&gt;</w:t>
            </w:r>
          </w:p>
          <w:p w14:paraId="7EFF312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&lt;/xs:complexType&gt;</w:t>
            </w:r>
          </w:p>
          <w:p w14:paraId="1F0EDD2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"RatioType"</w:t>
            </w:r>
            <w:r>
              <w:rPr>
                <w:rFonts w:ascii="Courier New" w:hAnsi="Courier New" w:cs="Courier New"/>
                <w:b/>
                <w:bCs/>
                <w:sz w:val="16"/>
                <w:szCs w:val="16"/>
              </w:rPr>
              <w:t>&gt;</w:t>
            </w:r>
          </w:p>
          <w:p w14:paraId="1846C51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6E02AA8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Ratio Type for sar and par </w:t>
            </w:r>
            <w:r>
              <w:rPr>
                <w:rFonts w:ascii="Courier New" w:hAnsi="Courier New" w:cs="Courier New"/>
                <w:b/>
                <w:bCs/>
                <w:sz w:val="16"/>
                <w:szCs w:val="16"/>
              </w:rPr>
              <w:t>&lt;/xs:documentation&gt;</w:t>
            </w:r>
          </w:p>
          <w:p w14:paraId="77544A2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77AE20B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6E2A2F9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&lt;xs:pattern</w:t>
            </w:r>
            <w:r>
              <w:rPr>
                <w:rFonts w:ascii="Courier New" w:hAnsi="Courier New" w:cs="Courier New"/>
                <w:sz w:val="16"/>
                <w:szCs w:val="16"/>
              </w:rPr>
              <w:t xml:space="preserve"> value=</w:t>
            </w:r>
            <w:r>
              <w:rPr>
                <w:rFonts w:ascii="Courier New" w:hAnsi="Courier New" w:cs="Courier New"/>
                <w:i/>
                <w:iCs/>
                <w:sz w:val="16"/>
                <w:szCs w:val="16"/>
              </w:rPr>
              <w:t>"[0-9]*:[0-9]*"</w:t>
            </w:r>
            <w:r>
              <w:rPr>
                <w:rFonts w:ascii="Courier New" w:hAnsi="Courier New" w:cs="Courier New"/>
                <w:b/>
                <w:bCs/>
                <w:sz w:val="16"/>
                <w:szCs w:val="16"/>
              </w:rPr>
              <w:t>/&gt;</w:t>
            </w:r>
          </w:p>
          <w:p w14:paraId="6370EB0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7DF656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6E587B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"FrameRateType"</w:t>
            </w:r>
            <w:r>
              <w:rPr>
                <w:rFonts w:ascii="Courier New" w:hAnsi="Courier New" w:cs="Courier New"/>
                <w:b/>
                <w:bCs/>
                <w:sz w:val="16"/>
                <w:szCs w:val="16"/>
              </w:rPr>
              <w:t>&gt;</w:t>
            </w:r>
          </w:p>
          <w:p w14:paraId="537DD69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1D9F291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Type for Frame Rate </w:t>
            </w:r>
            <w:r>
              <w:rPr>
                <w:rFonts w:ascii="Courier New" w:hAnsi="Courier New" w:cs="Courier New"/>
                <w:b/>
                <w:bCs/>
                <w:sz w:val="16"/>
                <w:szCs w:val="16"/>
              </w:rPr>
              <w:t>&lt;/xs:documentation&gt;</w:t>
            </w:r>
          </w:p>
          <w:p w14:paraId="7DF7377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10176BE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6D9271A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&lt;xs:pattern</w:t>
            </w:r>
            <w:r>
              <w:rPr>
                <w:rFonts w:ascii="Courier New" w:hAnsi="Courier New" w:cs="Courier New"/>
                <w:sz w:val="16"/>
                <w:szCs w:val="16"/>
              </w:rPr>
              <w:t xml:space="preserve"> value=</w:t>
            </w:r>
            <w:r>
              <w:rPr>
                <w:rFonts w:ascii="Courier New" w:hAnsi="Courier New" w:cs="Courier New"/>
                <w:i/>
                <w:iCs/>
                <w:sz w:val="16"/>
                <w:szCs w:val="16"/>
              </w:rPr>
              <w:t>"[0-9]+(/[1-9][0-9]*)?"</w:t>
            </w:r>
            <w:r>
              <w:rPr>
                <w:rFonts w:ascii="Courier New" w:hAnsi="Courier New" w:cs="Courier New"/>
                <w:b/>
                <w:bCs/>
                <w:sz w:val="16"/>
                <w:szCs w:val="16"/>
              </w:rPr>
              <w:t>/&gt;</w:t>
            </w:r>
          </w:p>
          <w:p w14:paraId="261DEDA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6531FF8B" w14:textId="44504A4B" w:rsidR="003634BB" w:rsidRDefault="003634BB">
            <w:pPr>
              <w:widowControl w:val="0"/>
              <w:autoSpaceDE w:val="0"/>
              <w:autoSpaceDN w:val="0"/>
              <w:adjustRightInd w:val="0"/>
              <w:spacing w:after="0" w:line="240" w:lineRule="auto"/>
              <w:rPr>
                <w:rFonts w:ascii="Courier New" w:hAnsi="Courier New" w:cs="Courier New"/>
                <w:b/>
                <w:bCs/>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25E692AA" w14:textId="22736180"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Pr>
                <w:rFonts w:ascii="Courier New" w:hAnsi="Courier New" w:cs="Courier New"/>
                <w:sz w:val="16"/>
                <w:szCs w:val="16"/>
              </w:rPr>
              <w:t xml:space="preserve">  </w:t>
            </w:r>
            <w:r w:rsidRPr="003634BB">
              <w:rPr>
                <w:rFonts w:ascii="Courier New" w:hAnsi="Courier New" w:cs="Courier New"/>
                <w:b/>
                <w:bCs/>
                <w:sz w:val="16"/>
                <w:szCs w:val="16"/>
                <w:highlight w:val="yellow"/>
              </w:rPr>
              <w:t>&lt;xs:simpleType</w:t>
            </w:r>
            <w:r w:rsidRPr="003634BB">
              <w:rPr>
                <w:rFonts w:ascii="Courier New" w:hAnsi="Courier New" w:cs="Courier New"/>
                <w:sz w:val="16"/>
                <w:szCs w:val="16"/>
                <w:highlight w:val="yellow"/>
              </w:rPr>
              <w:t xml:space="preserve"> name=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ScreenOrientation</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19955D26"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&lt;xs:annotation&gt;</w:t>
            </w:r>
          </w:p>
          <w:p w14:paraId="12234908" w14:textId="7153FFB6"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&lt;xs:documentation</w:t>
            </w:r>
            <w:r w:rsidRPr="003634BB">
              <w:rPr>
                <w:rFonts w:ascii="Courier New" w:hAnsi="Courier New" w:cs="Courier New"/>
                <w:sz w:val="16"/>
                <w:szCs w:val="16"/>
                <w:highlight w:val="yellow"/>
              </w:rPr>
              <w:t xml:space="preserve"> xml:lang=</w:t>
            </w:r>
            <w:r w:rsidRPr="003634BB">
              <w:rPr>
                <w:rFonts w:ascii="Courier New" w:hAnsi="Courier New" w:cs="Courier New"/>
                <w:i/>
                <w:iCs/>
                <w:sz w:val="16"/>
                <w:szCs w:val="16"/>
                <w:highlight w:val="yellow"/>
              </w:rPr>
              <w:t>"en"</w:t>
            </w:r>
            <w:r w:rsidRPr="003634BB">
              <w:rPr>
                <w:rFonts w:ascii="Courier New" w:hAnsi="Courier New" w:cs="Courier New"/>
                <w:b/>
                <w:bCs/>
                <w:sz w:val="16"/>
                <w:szCs w:val="16"/>
                <w:highlight w:val="yellow"/>
              </w:rPr>
              <w:t>&gt;</w:t>
            </w:r>
            <w:r w:rsidRPr="003634BB">
              <w:rPr>
                <w:rFonts w:ascii="Courier New" w:hAnsi="Courier New" w:cs="Courier New"/>
                <w:sz w:val="16"/>
                <w:szCs w:val="16"/>
                <w:highlight w:val="yellow"/>
              </w:rPr>
              <w:t xml:space="preserve"> </w:t>
            </w:r>
            <w:r>
              <w:rPr>
                <w:rFonts w:ascii="Courier New" w:hAnsi="Courier New" w:cs="Courier New"/>
                <w:sz w:val="16"/>
                <w:szCs w:val="16"/>
                <w:highlight w:val="yellow"/>
              </w:rPr>
              <w:t>Orientation of the targeted Sceen</w:t>
            </w: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&lt;/xs:documentation&gt;</w:t>
            </w:r>
          </w:p>
          <w:p w14:paraId="6EB583A8"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&lt;/xs:annotation&gt;</w:t>
            </w:r>
          </w:p>
          <w:p w14:paraId="4488B65F"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&lt;xs:restriction</w:t>
            </w:r>
            <w:r w:rsidRPr="003634BB">
              <w:rPr>
                <w:rFonts w:ascii="Courier New" w:hAnsi="Courier New" w:cs="Courier New"/>
                <w:sz w:val="16"/>
                <w:szCs w:val="16"/>
                <w:highlight w:val="yellow"/>
              </w:rPr>
              <w:t xml:space="preserve"> base=</w:t>
            </w:r>
            <w:r w:rsidRPr="003634BB">
              <w:rPr>
                <w:rFonts w:ascii="Courier New" w:hAnsi="Courier New" w:cs="Courier New"/>
                <w:i/>
                <w:iCs/>
                <w:sz w:val="16"/>
                <w:szCs w:val="16"/>
                <w:highlight w:val="yellow"/>
              </w:rPr>
              <w:t>"xs:string"</w:t>
            </w:r>
            <w:r w:rsidRPr="003634BB">
              <w:rPr>
                <w:rFonts w:ascii="Courier New" w:hAnsi="Courier New" w:cs="Courier New"/>
                <w:b/>
                <w:bCs/>
                <w:sz w:val="16"/>
                <w:szCs w:val="16"/>
                <w:highlight w:val="yellow"/>
              </w:rPr>
              <w:t>&gt;</w:t>
            </w:r>
          </w:p>
          <w:p w14:paraId="4BC93B8B" w14:textId="697E9BCE"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any</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01FE25F5" w14:textId="1799043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landscape</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0E02CF0C" w14:textId="007B26E1"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portrait</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1CCDA4D4" w14:textId="795686C3"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square</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5DFD504B"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&lt;/xs:restriction&gt;</w:t>
            </w:r>
          </w:p>
          <w:p w14:paraId="573EF916" w14:textId="0AC313E7" w:rsidR="003634BB" w:rsidRDefault="003634BB">
            <w:pPr>
              <w:widowControl w:val="0"/>
              <w:autoSpaceDE w:val="0"/>
              <w:autoSpaceDN w:val="0"/>
              <w:adjustRightInd w:val="0"/>
              <w:spacing w:after="0" w:line="240" w:lineRule="auto"/>
              <w:rPr>
                <w:rFonts w:ascii="Courier New" w:hAnsi="Courier New" w:cs="Courier New"/>
                <w:sz w:val="16"/>
                <w:szCs w:val="16"/>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&lt;/xs:simpleType&gt;</w:t>
            </w:r>
          </w:p>
          <w:p w14:paraId="4A25715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"RFC6838ContentTypeType"</w:t>
            </w:r>
            <w:r>
              <w:rPr>
                <w:rFonts w:ascii="Courier New" w:hAnsi="Courier New" w:cs="Courier New"/>
                <w:b/>
                <w:bCs/>
                <w:sz w:val="16"/>
                <w:szCs w:val="16"/>
              </w:rPr>
              <w:t>&gt;</w:t>
            </w:r>
          </w:p>
          <w:p w14:paraId="19798AB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w:t>
            </w:r>
            <w:r>
              <w:rPr>
                <w:rFonts w:ascii="Courier New" w:hAnsi="Courier New" w:cs="Courier New"/>
                <w:b/>
                <w:bCs/>
                <w:sz w:val="16"/>
                <w:szCs w:val="16"/>
              </w:rPr>
              <w:t>&lt;xs:annotation&gt;</w:t>
            </w:r>
          </w:p>
          <w:p w14:paraId="66CA86B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Type for RFC6838 Content Type </w:t>
            </w:r>
            <w:r>
              <w:rPr>
                <w:rFonts w:ascii="Courier New" w:hAnsi="Courier New" w:cs="Courier New"/>
                <w:b/>
                <w:bCs/>
                <w:sz w:val="16"/>
                <w:szCs w:val="16"/>
              </w:rPr>
              <w:t>&lt;/xs:documentation&gt;</w:t>
            </w:r>
          </w:p>
          <w:p w14:paraId="029EC8D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208C8A7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4AA902A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"text"</w:t>
            </w:r>
            <w:r>
              <w:rPr>
                <w:rFonts w:ascii="Courier New" w:hAnsi="Courier New" w:cs="Courier New"/>
                <w:b/>
                <w:bCs/>
                <w:sz w:val="16"/>
                <w:szCs w:val="16"/>
              </w:rPr>
              <w:t>/&gt;</w:t>
            </w:r>
          </w:p>
          <w:p w14:paraId="50D8729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"image"</w:t>
            </w:r>
            <w:r>
              <w:rPr>
                <w:rFonts w:ascii="Courier New" w:hAnsi="Courier New" w:cs="Courier New"/>
                <w:b/>
                <w:bCs/>
                <w:sz w:val="16"/>
                <w:szCs w:val="16"/>
              </w:rPr>
              <w:t>/&gt;</w:t>
            </w:r>
          </w:p>
          <w:p w14:paraId="1AB149E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"audio"</w:t>
            </w:r>
            <w:r>
              <w:rPr>
                <w:rFonts w:ascii="Courier New" w:hAnsi="Courier New" w:cs="Courier New"/>
                <w:b/>
                <w:bCs/>
                <w:sz w:val="16"/>
                <w:szCs w:val="16"/>
              </w:rPr>
              <w:t>/&gt;</w:t>
            </w:r>
          </w:p>
          <w:p w14:paraId="1E6DC39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"video"</w:t>
            </w:r>
            <w:r>
              <w:rPr>
                <w:rFonts w:ascii="Courier New" w:hAnsi="Courier New" w:cs="Courier New"/>
                <w:b/>
                <w:bCs/>
                <w:sz w:val="16"/>
                <w:szCs w:val="16"/>
              </w:rPr>
              <w:t>/&gt;</w:t>
            </w:r>
          </w:p>
          <w:p w14:paraId="73F658E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"application"</w:t>
            </w:r>
            <w:r>
              <w:rPr>
                <w:rFonts w:ascii="Courier New" w:hAnsi="Courier New" w:cs="Courier New"/>
                <w:b/>
                <w:bCs/>
                <w:sz w:val="16"/>
                <w:szCs w:val="16"/>
              </w:rPr>
              <w:t>/&gt;</w:t>
            </w:r>
          </w:p>
          <w:p w14:paraId="4CBE050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"font"</w:t>
            </w:r>
            <w:r>
              <w:rPr>
                <w:rFonts w:ascii="Courier New" w:hAnsi="Courier New" w:cs="Courier New"/>
                <w:b/>
                <w:bCs/>
                <w:sz w:val="16"/>
                <w:szCs w:val="16"/>
              </w:rPr>
              <w:t>/&gt;</w:t>
            </w:r>
          </w:p>
          <w:p w14:paraId="30D3359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31BC5C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222C7831" w14:textId="77777777" w:rsidR="003634BB" w:rsidRDefault="003634BB">
            <w:pPr>
              <w:jc w:val="left"/>
              <w:rPr>
                <w:sz w:val="16"/>
                <w:szCs w:val="16"/>
              </w:rPr>
            </w:pPr>
          </w:p>
        </w:tc>
      </w:tr>
    </w:tbl>
    <w:p w14:paraId="2104589B" w14:textId="77777777" w:rsidR="003634BB" w:rsidRDefault="003634BB" w:rsidP="003634BB"/>
    <w:p w14:paraId="605B0B5C" w14:textId="77777777" w:rsidR="00BE07BA" w:rsidRPr="00BE07BA" w:rsidRDefault="00BE07BA" w:rsidP="00BE07BA">
      <w:pPr>
        <w:pStyle w:val="Heading1"/>
        <w:rPr>
          <w:lang w:val="en-US"/>
        </w:rPr>
      </w:pPr>
      <w:bookmarkStart w:id="6" w:name="_Toc219812940"/>
      <w:bookmarkStart w:id="7" w:name="_Toc228540007"/>
      <w:bookmarkEnd w:id="2"/>
      <w:bookmarkEnd w:id="3"/>
      <w:bookmarkEnd w:id="4"/>
      <w:r w:rsidRPr="00BE07BA">
        <w:rPr>
          <w:lang w:val="en-US"/>
        </w:rPr>
        <w:t>Clause 4.7, Overview / Schemes</w:t>
      </w:r>
      <w:bookmarkEnd w:id="6"/>
      <w:bookmarkEnd w:id="7"/>
    </w:p>
    <w:p w14:paraId="1FCFA7A8"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lang w:val="en-CA"/>
        </w:rPr>
      </w:pPr>
      <w:r w:rsidRPr="00BE07BA">
        <w:rPr>
          <w:rFonts w:ascii="Times New Roman" w:eastAsia="Times New Roman" w:hAnsi="Times New Roman"/>
          <w:i/>
          <w:iCs/>
          <w:color w:val="2E74B5" w:themeColor="accent1" w:themeShade="BF"/>
          <w:sz w:val="24"/>
          <w:szCs w:val="24"/>
          <w:lang w:val="en-CA"/>
        </w:rPr>
        <w:t>In clause 4.7, table 2, update the following line: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6025"/>
        <w:gridCol w:w="783"/>
        <w:gridCol w:w="3366"/>
      </w:tblGrid>
      <w:tr w:rsidR="00BE07BA" w:rsidRPr="00BE07BA" w14:paraId="63547C21" w14:textId="77777777" w:rsidTr="00787908">
        <w:tc>
          <w:tcPr>
            <w:tcW w:w="2961" w:type="pct"/>
            <w:tcBorders>
              <w:top w:val="single" w:sz="12" w:space="0" w:color="auto"/>
              <w:left w:val="single" w:sz="12" w:space="0" w:color="auto"/>
              <w:bottom w:val="single" w:sz="12" w:space="0" w:color="auto"/>
              <w:right w:val="single" w:sz="6" w:space="0" w:color="auto"/>
            </w:tcBorders>
            <w:hideMark/>
          </w:tcPr>
          <w:p w14:paraId="7C5FACB2" w14:textId="77777777" w:rsidR="00BE07BA" w:rsidRPr="00BE07BA" w:rsidRDefault="00BE07BA" w:rsidP="00BE07BA">
            <w:pPr>
              <w:tabs>
                <w:tab w:val="clear" w:pos="403"/>
              </w:tabs>
              <w:autoSpaceDE w:val="0"/>
              <w:autoSpaceDN w:val="0"/>
              <w:adjustRightInd w:val="0"/>
              <w:spacing w:before="60" w:after="60" w:line="240" w:lineRule="auto"/>
              <w:jc w:val="left"/>
              <w:rPr>
                <w:rFonts w:ascii="Courier New" w:eastAsia="SimSun" w:hAnsi="Courier New" w:cs="Courier New"/>
                <w:szCs w:val="20"/>
                <w:lang w:eastAsia="zh-CN"/>
              </w:rPr>
            </w:pPr>
            <w:r w:rsidRPr="00BE07BA">
              <w:rPr>
                <w:rFonts w:ascii="Courier New" w:eastAsia="SimSun" w:hAnsi="Courier New" w:cs="Courier New"/>
                <w:szCs w:val="20"/>
                <w:lang w:eastAsia="zh-CN"/>
              </w:rPr>
              <w:t>urn:mpeg:dash:outputChannelPositionList:2012</w:t>
            </w:r>
          </w:p>
        </w:tc>
        <w:tc>
          <w:tcPr>
            <w:tcW w:w="385" w:type="pct"/>
            <w:tcBorders>
              <w:top w:val="single" w:sz="12" w:space="0" w:color="auto"/>
              <w:left w:val="single" w:sz="6" w:space="0" w:color="auto"/>
              <w:bottom w:val="single" w:sz="12" w:space="0" w:color="auto"/>
              <w:right w:val="single" w:sz="6" w:space="0" w:color="auto"/>
            </w:tcBorders>
            <w:hideMark/>
          </w:tcPr>
          <w:p w14:paraId="7D71329B" w14:textId="77777777" w:rsidR="00BE07BA" w:rsidRPr="00BE07BA" w:rsidRDefault="00BE07BA" w:rsidP="00BE07BA">
            <w:pPr>
              <w:tabs>
                <w:tab w:val="clear" w:pos="403"/>
              </w:tabs>
              <w:autoSpaceDE w:val="0"/>
              <w:autoSpaceDN w:val="0"/>
              <w:adjustRightInd w:val="0"/>
              <w:spacing w:before="60" w:after="60" w:line="240" w:lineRule="auto"/>
              <w:jc w:val="left"/>
              <w:rPr>
                <w:rFonts w:eastAsia="Times New Roman"/>
                <w:sz w:val="20"/>
              </w:rPr>
            </w:pPr>
            <w:r w:rsidRPr="00BE07BA">
              <w:rPr>
                <w:rFonts w:eastAsia="MS Mincho"/>
                <w:sz w:val="20"/>
                <w:szCs w:val="24"/>
                <w:bdr w:val="none" w:sz="0" w:space="0" w:color="auto" w:frame="1"/>
                <w:shd w:val="clear" w:color="auto" w:fill="FFCCCC"/>
                <w:lang w:val="en-US"/>
              </w:rPr>
              <w:t>5.8.5.4</w:t>
            </w:r>
          </w:p>
        </w:tc>
        <w:tc>
          <w:tcPr>
            <w:tcW w:w="1654" w:type="pct"/>
            <w:tcBorders>
              <w:top w:val="single" w:sz="12" w:space="0" w:color="auto"/>
              <w:left w:val="single" w:sz="6" w:space="0" w:color="auto"/>
              <w:bottom w:val="single" w:sz="12" w:space="0" w:color="auto"/>
              <w:right w:val="single" w:sz="12" w:space="0" w:color="auto"/>
            </w:tcBorders>
            <w:hideMark/>
          </w:tcPr>
          <w:p w14:paraId="7AAF4D94"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MS Mincho" w:hAnsi="Times New Roman"/>
                <w:sz w:val="20"/>
                <w:szCs w:val="24"/>
                <w:lang w:val="en-US"/>
              </w:rPr>
            </w:pPr>
            <w:r w:rsidRPr="00BE07BA">
              <w:rPr>
                <w:rFonts w:ascii="Times New Roman" w:eastAsia="MS Mincho" w:hAnsi="Times New Roman"/>
                <w:sz w:val="20"/>
                <w:szCs w:val="24"/>
                <w:lang w:val="en-US"/>
              </w:rPr>
              <w:t xml:space="preserve">A list of output channel position to signal individual speaker positions as defined in </w:t>
            </w:r>
            <w:r w:rsidRPr="00BE07BA">
              <w:rPr>
                <w:rFonts w:eastAsia="MS Mincho"/>
                <w:sz w:val="20"/>
                <w:szCs w:val="24"/>
                <w:shd w:val="clear" w:color="auto" w:fill="C6D9F1"/>
                <w:lang w:val="en-US"/>
              </w:rPr>
              <w:t>ISO/IEC</w:t>
            </w:r>
            <w:r w:rsidRPr="00BE07BA">
              <w:rPr>
                <w:rFonts w:ascii="Times New Roman" w:eastAsia="Times New Roman" w:hAnsi="Times New Roman"/>
                <w:sz w:val="20"/>
                <w:szCs w:val="24"/>
                <w:lang w:val="en-US"/>
              </w:rPr>
              <w:t> 23001-</w:t>
            </w:r>
            <w:r w:rsidRPr="00BE07BA">
              <w:rPr>
                <w:rFonts w:eastAsia="MS Mincho"/>
                <w:sz w:val="20"/>
                <w:szCs w:val="24"/>
                <w:shd w:val="clear" w:color="auto" w:fill="EAF1DD"/>
                <w:lang w:val="en-US"/>
              </w:rPr>
              <w:t>8</w:t>
            </w:r>
            <w:r w:rsidRPr="00BE07BA">
              <w:rPr>
                <w:rFonts w:ascii="Times New Roman" w:eastAsia="MS Mincho" w:hAnsi="Times New Roman"/>
                <w:sz w:val="20"/>
                <w:szCs w:val="24"/>
                <w:lang w:val="en-US"/>
              </w:rPr>
              <w:t>.</w:t>
            </w:r>
          </w:p>
          <w:p w14:paraId="32402EE9"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Theme="minorEastAsia" w:hAnsi="Times New Roman"/>
                <w:sz w:val="20"/>
                <w:lang w:val="en-US"/>
              </w:rPr>
            </w:pPr>
            <w:r w:rsidRPr="00BE07BA">
              <w:rPr>
                <w:rFonts w:ascii="Times New Roman" w:eastAsia="MS Mincho" w:hAnsi="Times New Roman"/>
                <w:sz w:val="20"/>
                <w:szCs w:val="24"/>
                <w:lang w:val="en-US"/>
              </w:rPr>
              <w:t xml:space="preserve">Legacy format for backward-compatibility, it is recommended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lang w:val="en-US"/>
              </w:rPr>
              <w:t>23091-3 in</w:t>
            </w:r>
            <w:r w:rsidRPr="00BE07BA">
              <w:rPr>
                <w:rFonts w:ascii="Times New Roman" w:eastAsia="MS Mincho" w:hAnsi="Times New Roman"/>
                <w:sz w:val="20"/>
                <w:szCs w:val="24"/>
                <w:lang w:val="en-US"/>
              </w:rPr>
              <w:t>stead.</w:t>
            </w:r>
          </w:p>
        </w:tc>
      </w:tr>
    </w:tbl>
    <w:p w14:paraId="3B2AF5E0"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6025"/>
        <w:gridCol w:w="783"/>
        <w:gridCol w:w="3366"/>
      </w:tblGrid>
      <w:tr w:rsidR="00BE07BA" w:rsidRPr="00BE07BA" w14:paraId="655915AF" w14:textId="77777777" w:rsidTr="00787908">
        <w:tc>
          <w:tcPr>
            <w:tcW w:w="2703" w:type="pct"/>
            <w:tcBorders>
              <w:top w:val="single" w:sz="12" w:space="0" w:color="auto"/>
              <w:left w:val="single" w:sz="12" w:space="0" w:color="auto"/>
              <w:bottom w:val="single" w:sz="12" w:space="0" w:color="auto"/>
              <w:right w:val="single" w:sz="6" w:space="0" w:color="auto"/>
            </w:tcBorders>
            <w:hideMark/>
          </w:tcPr>
          <w:p w14:paraId="7A275DD3" w14:textId="77777777" w:rsidR="00BE07BA" w:rsidRPr="00BE07BA" w:rsidRDefault="00BE07BA" w:rsidP="00BE07BA">
            <w:pPr>
              <w:tabs>
                <w:tab w:val="clear" w:pos="403"/>
              </w:tabs>
              <w:autoSpaceDE w:val="0"/>
              <w:autoSpaceDN w:val="0"/>
              <w:adjustRightInd w:val="0"/>
              <w:spacing w:before="60" w:after="60" w:line="240" w:lineRule="auto"/>
              <w:jc w:val="left"/>
              <w:rPr>
                <w:rFonts w:ascii="Courier New" w:eastAsia="SimSun" w:hAnsi="Courier New" w:cs="Courier New"/>
                <w:szCs w:val="20"/>
                <w:lang w:eastAsia="zh-CN"/>
              </w:rPr>
            </w:pPr>
            <w:r w:rsidRPr="00BE07BA">
              <w:rPr>
                <w:rFonts w:ascii="Courier New" w:eastAsia="SimSun" w:hAnsi="Courier New" w:cs="Courier New"/>
                <w:szCs w:val="20"/>
                <w:lang w:eastAsia="zh-CN"/>
              </w:rPr>
              <w:t>urn:mpeg:dash:outputChannelPositionList:2012</w:t>
            </w:r>
          </w:p>
        </w:tc>
        <w:tc>
          <w:tcPr>
            <w:tcW w:w="505" w:type="pct"/>
            <w:tcBorders>
              <w:top w:val="single" w:sz="12" w:space="0" w:color="auto"/>
              <w:left w:val="single" w:sz="6" w:space="0" w:color="auto"/>
              <w:bottom w:val="single" w:sz="12" w:space="0" w:color="auto"/>
              <w:right w:val="single" w:sz="6" w:space="0" w:color="auto"/>
            </w:tcBorders>
            <w:hideMark/>
          </w:tcPr>
          <w:p w14:paraId="5347647B" w14:textId="77777777" w:rsidR="00BE07BA" w:rsidRPr="00BE07BA" w:rsidRDefault="00BE07BA" w:rsidP="00BE07BA">
            <w:pPr>
              <w:tabs>
                <w:tab w:val="clear" w:pos="403"/>
              </w:tabs>
              <w:autoSpaceDE w:val="0"/>
              <w:autoSpaceDN w:val="0"/>
              <w:adjustRightInd w:val="0"/>
              <w:spacing w:before="60" w:after="60" w:line="240" w:lineRule="auto"/>
              <w:jc w:val="left"/>
              <w:rPr>
                <w:rFonts w:eastAsia="Times New Roman"/>
                <w:sz w:val="20"/>
              </w:rPr>
            </w:pPr>
            <w:r w:rsidRPr="00BE07BA">
              <w:rPr>
                <w:rFonts w:eastAsia="MS Mincho"/>
                <w:sz w:val="20"/>
                <w:szCs w:val="24"/>
                <w:bdr w:val="none" w:sz="0" w:space="0" w:color="auto" w:frame="1"/>
                <w:shd w:val="clear" w:color="auto" w:fill="FFCCCC"/>
                <w:lang w:val="en-US"/>
              </w:rPr>
              <w:t>5.8.5.4</w:t>
            </w:r>
          </w:p>
        </w:tc>
        <w:tc>
          <w:tcPr>
            <w:tcW w:w="1792" w:type="pct"/>
            <w:tcBorders>
              <w:top w:val="single" w:sz="12" w:space="0" w:color="auto"/>
              <w:left w:val="single" w:sz="6" w:space="0" w:color="auto"/>
              <w:bottom w:val="single" w:sz="12" w:space="0" w:color="auto"/>
              <w:right w:val="single" w:sz="12" w:space="0" w:color="auto"/>
            </w:tcBorders>
            <w:hideMark/>
          </w:tcPr>
          <w:p w14:paraId="74E6B432"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MS Mincho" w:hAnsi="Times New Roman"/>
                <w:sz w:val="20"/>
                <w:szCs w:val="24"/>
                <w:lang w:val="en-US"/>
              </w:rPr>
            </w:pPr>
            <w:r w:rsidRPr="00BE07BA">
              <w:rPr>
                <w:rFonts w:ascii="Times New Roman" w:eastAsia="MS Mincho" w:hAnsi="Times New Roman"/>
                <w:sz w:val="20"/>
                <w:szCs w:val="24"/>
                <w:lang w:val="en-US"/>
              </w:rPr>
              <w:t xml:space="preserve">A list of output channel position to signal individual speaker positions as defined in </w:t>
            </w:r>
            <w:r w:rsidRPr="00BE07BA">
              <w:rPr>
                <w:rFonts w:eastAsia="MS Mincho"/>
                <w:sz w:val="20"/>
                <w:szCs w:val="24"/>
                <w:shd w:val="clear" w:color="auto" w:fill="C6D9F1"/>
                <w:lang w:val="en-US"/>
              </w:rPr>
              <w:t>ISO/IEC</w:t>
            </w:r>
            <w:r w:rsidRPr="00BE07BA">
              <w:rPr>
                <w:rFonts w:ascii="Times New Roman" w:eastAsia="Times New Roman" w:hAnsi="Times New Roman"/>
                <w:sz w:val="20"/>
                <w:szCs w:val="24"/>
                <w:lang w:val="en-US"/>
              </w:rPr>
              <w:t> </w:t>
            </w:r>
            <w:r w:rsidRPr="00BE07BA">
              <w:rPr>
                <w:rFonts w:ascii="Times New Roman" w:eastAsia="Times New Roman" w:hAnsi="Times New Roman"/>
                <w:sz w:val="20"/>
                <w:szCs w:val="24"/>
                <w:highlight w:val="yellow"/>
                <w:lang w:val="en-US"/>
              </w:rPr>
              <w:t>23091-</w:t>
            </w:r>
            <w:r w:rsidRPr="00BE07BA">
              <w:rPr>
                <w:rFonts w:eastAsia="MS Mincho"/>
                <w:sz w:val="20"/>
                <w:szCs w:val="24"/>
                <w:highlight w:val="yellow"/>
                <w:shd w:val="clear" w:color="auto" w:fill="EAF1DD"/>
                <w:lang w:val="en-US"/>
              </w:rPr>
              <w:t>3</w:t>
            </w:r>
            <w:r w:rsidRPr="00BE07BA">
              <w:rPr>
                <w:rFonts w:ascii="Times New Roman" w:eastAsia="MS Mincho" w:hAnsi="Times New Roman"/>
                <w:sz w:val="20"/>
                <w:szCs w:val="24"/>
                <w:lang w:val="en-US"/>
              </w:rPr>
              <w:t>.</w:t>
            </w:r>
          </w:p>
          <w:p w14:paraId="519BE97C"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Theme="minorEastAsia" w:hAnsi="Times New Roman"/>
                <w:sz w:val="20"/>
                <w:lang w:val="en-US"/>
              </w:rPr>
            </w:pPr>
            <w:r w:rsidRPr="00BE07BA">
              <w:rPr>
                <w:rFonts w:ascii="Times New Roman" w:eastAsia="MS Mincho" w:hAnsi="Times New Roman"/>
                <w:sz w:val="20"/>
                <w:szCs w:val="24"/>
                <w:lang w:val="en-US"/>
              </w:rPr>
              <w:t xml:space="preserve">Legacy </w:t>
            </w:r>
            <w:r w:rsidRPr="00BE07BA">
              <w:rPr>
                <w:rFonts w:ascii="Courier New" w:eastAsia="MS Mincho" w:hAnsi="Courier New" w:cs="Courier New"/>
                <w:sz w:val="20"/>
                <w:szCs w:val="24"/>
                <w:highlight w:val="yellow"/>
                <w:lang w:val="en-US"/>
              </w:rPr>
              <w:t>@schemeIdUri</w:t>
            </w:r>
            <w:r w:rsidRPr="00BE07BA">
              <w:rPr>
                <w:rFonts w:ascii="Times New Roman" w:eastAsia="MS Mincho" w:hAnsi="Times New Roman"/>
                <w:sz w:val="20"/>
                <w:szCs w:val="24"/>
                <w:lang w:val="en-US"/>
              </w:rPr>
              <w:t xml:space="preserve"> format for backward-compatibility, it is recommended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lang w:val="en-US"/>
              </w:rPr>
              <w:t>23091-3 in</w:t>
            </w:r>
            <w:r w:rsidRPr="00BE07BA">
              <w:rPr>
                <w:rFonts w:ascii="Times New Roman" w:eastAsia="MS Mincho" w:hAnsi="Times New Roman"/>
                <w:sz w:val="20"/>
                <w:szCs w:val="24"/>
                <w:lang w:val="en-US"/>
              </w:rPr>
              <w:t>stead.</w:t>
            </w:r>
          </w:p>
        </w:tc>
      </w:tr>
    </w:tbl>
    <w:p w14:paraId="25A1BA09"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rPr>
      </w:pPr>
    </w:p>
    <w:p w14:paraId="486AAE7B"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p>
    <w:p w14:paraId="3FB47BE7" w14:textId="77777777" w:rsidR="00BE07BA" w:rsidRPr="00BE07BA" w:rsidRDefault="00BE07BA" w:rsidP="00BE07BA">
      <w:pPr>
        <w:pStyle w:val="Heading1"/>
        <w:rPr>
          <w:lang w:val="en-US"/>
        </w:rPr>
      </w:pPr>
      <w:bookmarkStart w:id="8" w:name="_Toc219812941"/>
      <w:bookmarkStart w:id="9" w:name="_Toc228540008"/>
      <w:r w:rsidRPr="00BE07BA">
        <w:rPr>
          <w:lang w:val="en-US"/>
        </w:rPr>
        <w:t>Clause 5, Media Presentation</w:t>
      </w:r>
      <w:bookmarkEnd w:id="8"/>
      <w:bookmarkEnd w:id="9"/>
    </w:p>
    <w:p w14:paraId="0A0210E2" w14:textId="77777777" w:rsidR="00BE07BA" w:rsidRPr="00BE07BA" w:rsidRDefault="00BE07BA" w:rsidP="00BE07BA">
      <w:pPr>
        <w:pStyle w:val="Heading2"/>
        <w:rPr>
          <w:lang w:val="en-US"/>
        </w:rPr>
      </w:pPr>
      <w:bookmarkStart w:id="10" w:name="_Toc219812942"/>
      <w:bookmarkStart w:id="11" w:name="_Toc228540009"/>
      <w:r w:rsidRPr="00BE07BA">
        <w:rPr>
          <w:lang w:val="en-US"/>
        </w:rPr>
        <w:t>Clause 5.3.3.1, Hierarchical data model / AdaptationSets / Overview</w:t>
      </w:r>
      <w:bookmarkEnd w:id="10"/>
      <w:bookmarkEnd w:id="11"/>
    </w:p>
    <w:p w14:paraId="0C4E57EA"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Add a note in Clause 5.3.3.1 to alert readers to the Annex I exception:</w:t>
      </w:r>
    </w:p>
    <w:p w14:paraId="348F6D1F"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bookmarkStart w:id="12" w:name="ISO_23001_1"/>
      <w:r w:rsidRPr="00BE07BA">
        <w:rPr>
          <w:rFonts w:ascii="Times New Roman" w:eastAsia="Times New Roman" w:hAnsi="Times New Roman"/>
          <w:b/>
          <w:bCs/>
          <w:sz w:val="24"/>
          <w:szCs w:val="24"/>
          <w:lang w:val="en-US"/>
        </w:rPr>
        <w:t>Note:</w:t>
      </w:r>
      <w:r w:rsidRPr="00BE07BA">
        <w:rPr>
          <w:rFonts w:ascii="Times New Roman" w:eastAsia="Times New Roman" w:hAnsi="Times New Roman"/>
          <w:sz w:val="24"/>
          <w:szCs w:val="24"/>
          <w:lang w:val="en-US"/>
        </w:rPr>
        <w:t xml:space="preserve"> Annex I defines specific schemeIdUri values that use a different processing model where values from multiple hierarchy levels are concatenated rather than overridden. Refer to Annex I.1.X for details on this special processing model.</w:t>
      </w:r>
    </w:p>
    <w:p w14:paraId="7D5A122E" w14:textId="77777777" w:rsidR="00BE07BA" w:rsidRPr="00BE07BA" w:rsidRDefault="00BE07BA" w:rsidP="00BE07BA">
      <w:pPr>
        <w:pStyle w:val="Heading2"/>
        <w:rPr>
          <w:lang w:val="en-US"/>
        </w:rPr>
      </w:pPr>
      <w:bookmarkStart w:id="13" w:name="_Toc219812943"/>
      <w:bookmarkStart w:id="14" w:name="_Toc228540010"/>
      <w:r w:rsidRPr="00BE07BA">
        <w:rPr>
          <w:lang w:val="en-US"/>
        </w:rPr>
        <w:t>Clause 5.8.4.6, Frame Packing</w:t>
      </w:r>
      <w:bookmarkEnd w:id="13"/>
      <w:bookmarkEnd w:id="14"/>
    </w:p>
    <w:p w14:paraId="03785957"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In clause 5.8.4.6 “Frame packing”, change both instances of:</w:t>
      </w:r>
    </w:p>
    <w:p w14:paraId="3B07FE00"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ISO/IEC 23091-3</w:t>
      </w:r>
    </w:p>
    <w:p w14:paraId="3CA823F6"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p w14:paraId="197865AB"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ISO/IEC 23091-2.</w:t>
      </w:r>
    </w:p>
    <w:p w14:paraId="3AE107AB" w14:textId="77777777" w:rsidR="00BE07BA" w:rsidRPr="00BE07BA" w:rsidRDefault="00BE07BA" w:rsidP="00BE07BA">
      <w:pPr>
        <w:pStyle w:val="Heading2"/>
        <w:rPr>
          <w:lang w:val="en-US"/>
        </w:rPr>
      </w:pPr>
      <w:bookmarkStart w:id="15" w:name="_Toc219812944"/>
      <w:bookmarkStart w:id="16" w:name="_Toc228540011"/>
      <w:r w:rsidRPr="00BE07BA">
        <w:rPr>
          <w:lang w:val="en-US"/>
        </w:rPr>
        <w:lastRenderedPageBreak/>
        <w:t>Clause 5.8.4.7, Audio Channel Configuration</w:t>
      </w:r>
      <w:bookmarkEnd w:id="15"/>
      <w:bookmarkEnd w:id="16"/>
    </w:p>
    <w:p w14:paraId="65F00DF3"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lang w:val="en-CA"/>
        </w:rPr>
      </w:pPr>
      <w:r w:rsidRPr="00BE07BA">
        <w:rPr>
          <w:rFonts w:ascii="Times New Roman" w:eastAsia="Times New Roman" w:hAnsi="Times New Roman"/>
          <w:i/>
          <w:iCs/>
          <w:color w:val="2E74B5" w:themeColor="accent1" w:themeShade="BF"/>
          <w:sz w:val="24"/>
          <w:szCs w:val="24"/>
          <w:lang w:val="en-CA"/>
        </w:rPr>
        <w:t>In clause 5.8.4.7 “Audio Channel Configuration”, change:</w:t>
      </w:r>
    </w:p>
    <w:p w14:paraId="45541385" w14:textId="77777777" w:rsidR="00BE07BA" w:rsidRPr="00BE07BA" w:rsidRDefault="00BE07BA" w:rsidP="00BE07BA">
      <w:pPr>
        <w:widowControl w:val="0"/>
        <w:tabs>
          <w:tab w:val="clear" w:pos="403"/>
        </w:tabs>
        <w:autoSpaceDE w:val="0"/>
        <w:autoSpaceDN w:val="0"/>
        <w:adjustRightInd w:val="0"/>
        <w:spacing w:after="0" w:line="240" w:lineRule="auto"/>
        <w:jc w:val="left"/>
        <w:rPr>
          <w:rFonts w:ascii="Times New Roman" w:eastAsia="MS Mincho" w:hAnsi="Times New Roman"/>
          <w:sz w:val="24"/>
          <w:szCs w:val="24"/>
        </w:rPr>
      </w:pPr>
      <w:r w:rsidRPr="00BE07BA">
        <w:rPr>
          <w:rFonts w:ascii="Times New Roman" w:eastAsia="MS Mincho" w:hAnsi="Times New Roman"/>
          <w:sz w:val="24"/>
          <w:szCs w:val="24"/>
        </w:rPr>
        <w:t xml:space="preserve">The descriptor may carry audio channel configuration using the URN label and values defined for </w:t>
      </w:r>
      <w:r w:rsidRPr="00BE07BA">
        <w:rPr>
          <w:rFonts w:ascii="Courier New" w:eastAsia="SimSun" w:hAnsi="Courier New" w:cs="Courier New"/>
          <w:b/>
          <w:bCs/>
          <w:szCs w:val="24"/>
          <w:lang w:eastAsia="zh-CN"/>
        </w:rPr>
        <w:t>ChannelConfiguration</w:t>
      </w:r>
      <w:r w:rsidRPr="00BE07BA">
        <w:rPr>
          <w:rFonts w:ascii="Courier New" w:eastAsia="SimSun" w:hAnsi="Courier New" w:cs="Courier New"/>
          <w:szCs w:val="24"/>
          <w:lang w:eastAsia="zh-CN"/>
        </w:rPr>
        <w:t xml:space="preserve"> </w:t>
      </w:r>
      <w:r w:rsidRPr="00BE07BA">
        <w:rPr>
          <w:rFonts w:ascii="Times New Roman" w:eastAsia="MS Mincho" w:hAnsi="Times New Roman"/>
          <w:sz w:val="24"/>
          <w:szCs w:val="24"/>
        </w:rPr>
        <w:t xml:space="preserve">in </w:t>
      </w:r>
      <w:r w:rsidRPr="00BE07BA">
        <w:rPr>
          <w:rFonts w:eastAsia="MS Mincho"/>
          <w:sz w:val="24"/>
          <w:szCs w:val="24"/>
          <w:shd w:val="clear" w:color="auto" w:fill="C6D9F1"/>
          <w:lang w:val="en-US"/>
        </w:rPr>
        <w:t>ISO/IEC </w:t>
      </w:r>
      <w:r w:rsidRPr="00BE07BA">
        <w:rPr>
          <w:rFonts w:ascii="Times New Roman" w:eastAsia="Times New Roman" w:hAnsi="Times New Roman"/>
          <w:sz w:val="24"/>
          <w:szCs w:val="24"/>
        </w:rPr>
        <w:t>23001</w:t>
      </w:r>
      <w:r w:rsidRPr="00BE07BA">
        <w:rPr>
          <w:rFonts w:ascii="Times New Roman" w:eastAsia="MS Mincho" w:hAnsi="Times New Roman"/>
          <w:sz w:val="24"/>
          <w:szCs w:val="24"/>
        </w:rPr>
        <w:t>-</w:t>
      </w:r>
      <w:r w:rsidRPr="00BE07BA">
        <w:rPr>
          <w:rFonts w:eastAsia="MS Mincho"/>
          <w:sz w:val="24"/>
          <w:szCs w:val="24"/>
          <w:shd w:val="clear" w:color="auto" w:fill="EAF1DD"/>
        </w:rPr>
        <w:t>8</w:t>
      </w:r>
      <w:r w:rsidRPr="00BE07BA">
        <w:rPr>
          <w:rFonts w:ascii="Times New Roman" w:eastAsia="MS Mincho" w:hAnsi="Times New Roman"/>
          <w:sz w:val="24"/>
          <w:szCs w:val="24"/>
        </w:rPr>
        <w:t>.</w:t>
      </w:r>
    </w:p>
    <w:p w14:paraId="457DB2E7" w14:textId="77777777" w:rsidR="00BE07BA" w:rsidRPr="00BE07BA" w:rsidRDefault="00BE07BA" w:rsidP="00BE07BA">
      <w:pPr>
        <w:tabs>
          <w:tab w:val="clear" w:pos="403"/>
          <w:tab w:val="left" w:pos="1368"/>
        </w:tabs>
        <w:spacing w:after="240" w:line="220" w:lineRule="atLeast"/>
        <w:ind w:left="403"/>
        <w:jc w:val="left"/>
        <w:rPr>
          <w:rFonts w:ascii="Times New Roman" w:eastAsiaTheme="minorEastAsia" w:hAnsi="Times New Roman"/>
          <w:sz w:val="20"/>
        </w:rPr>
      </w:pPr>
      <w:r w:rsidRPr="00BE07BA">
        <w:rPr>
          <w:rFonts w:ascii="Times New Roman" w:eastAsia="Times New Roman" w:hAnsi="Times New Roman"/>
          <w:sz w:val="20"/>
          <w:szCs w:val="24"/>
        </w:rPr>
        <w:t>NOTE 2</w:t>
      </w:r>
      <w:r w:rsidRPr="00BE07BA">
        <w:rPr>
          <w:rFonts w:ascii="Times New Roman" w:eastAsia="Times New Roman" w:hAnsi="Times New Roman"/>
          <w:sz w:val="20"/>
          <w:szCs w:val="24"/>
        </w:rPr>
        <w:tab/>
        <w:t xml:space="preserve">In addition, a scheme for audio channel configuration is also defined in subclause </w:t>
      </w:r>
      <w:r w:rsidRPr="00BE07BA">
        <w:rPr>
          <w:rFonts w:eastAsia="MS Mincho"/>
          <w:sz w:val="20"/>
          <w:szCs w:val="24"/>
          <w:bdr w:val="none" w:sz="0" w:space="0" w:color="auto" w:frame="1"/>
          <w:shd w:val="clear" w:color="auto" w:fill="FFCCCC"/>
          <w:lang w:val="en-US"/>
        </w:rPr>
        <w:t>5.8.5.4</w:t>
      </w:r>
      <w:r w:rsidRPr="00BE07BA">
        <w:rPr>
          <w:rFonts w:ascii="Times New Roman" w:eastAsia="Times New Roman" w:hAnsi="Times New Roman"/>
          <w:sz w:val="20"/>
          <w:szCs w:val="24"/>
        </w:rPr>
        <w:t xml:space="preserve">. This scheme is maintained for backward compatibility, but it is preferable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rPr>
        <w:t>23001-</w:t>
      </w:r>
      <w:r w:rsidRPr="00BE07BA">
        <w:rPr>
          <w:rFonts w:eastAsia="MS Mincho"/>
          <w:sz w:val="20"/>
          <w:szCs w:val="24"/>
          <w:shd w:val="clear" w:color="auto" w:fill="EAF1DD"/>
        </w:rPr>
        <w:t>8</w:t>
      </w:r>
      <w:r w:rsidRPr="00BE07BA">
        <w:rPr>
          <w:rFonts w:ascii="Times New Roman" w:eastAsia="Times New Roman" w:hAnsi="Times New Roman"/>
          <w:sz w:val="20"/>
          <w:szCs w:val="24"/>
        </w:rPr>
        <w:t>.</w:t>
      </w:r>
    </w:p>
    <w:p w14:paraId="02451CBE"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p w14:paraId="306C49D1" w14:textId="77777777" w:rsidR="00BE07BA" w:rsidRPr="00BE07BA" w:rsidRDefault="00BE07BA" w:rsidP="00BE07BA">
      <w:pPr>
        <w:widowControl w:val="0"/>
        <w:tabs>
          <w:tab w:val="clear" w:pos="403"/>
        </w:tabs>
        <w:autoSpaceDE w:val="0"/>
        <w:autoSpaceDN w:val="0"/>
        <w:adjustRightInd w:val="0"/>
        <w:spacing w:after="0" w:line="240" w:lineRule="auto"/>
        <w:jc w:val="left"/>
        <w:rPr>
          <w:rFonts w:ascii="Times New Roman" w:eastAsia="MS Mincho" w:hAnsi="Times New Roman"/>
          <w:sz w:val="24"/>
          <w:szCs w:val="24"/>
        </w:rPr>
      </w:pPr>
      <w:r w:rsidRPr="00BE07BA">
        <w:rPr>
          <w:rFonts w:ascii="Times New Roman" w:eastAsia="MS Mincho" w:hAnsi="Times New Roman"/>
          <w:sz w:val="24"/>
          <w:szCs w:val="24"/>
        </w:rPr>
        <w:t xml:space="preserve">The descriptor may carry audio channel configuration using the URN label and values defined for </w:t>
      </w:r>
      <w:r w:rsidRPr="00BE07BA">
        <w:rPr>
          <w:rFonts w:ascii="Courier New" w:eastAsia="SimSun" w:hAnsi="Courier New" w:cs="Courier New"/>
          <w:b/>
          <w:bCs/>
          <w:szCs w:val="24"/>
          <w:lang w:eastAsia="zh-CN"/>
        </w:rPr>
        <w:t>ChannelConfiguration</w:t>
      </w:r>
      <w:r w:rsidRPr="00BE07BA">
        <w:rPr>
          <w:rFonts w:ascii="Courier New" w:eastAsia="SimSun" w:hAnsi="Courier New" w:cs="Courier New"/>
          <w:szCs w:val="24"/>
          <w:lang w:eastAsia="zh-CN"/>
        </w:rPr>
        <w:t xml:space="preserve"> </w:t>
      </w:r>
      <w:r w:rsidRPr="00BE07BA">
        <w:rPr>
          <w:rFonts w:ascii="Times New Roman" w:eastAsia="MS Mincho" w:hAnsi="Times New Roman"/>
          <w:sz w:val="24"/>
          <w:szCs w:val="24"/>
        </w:rPr>
        <w:t xml:space="preserve">in </w:t>
      </w:r>
      <w:r w:rsidRPr="00BE07BA">
        <w:rPr>
          <w:rFonts w:eastAsia="MS Mincho"/>
          <w:sz w:val="24"/>
          <w:szCs w:val="24"/>
          <w:shd w:val="clear" w:color="auto" w:fill="C6D9F1"/>
          <w:lang w:val="en-US"/>
        </w:rPr>
        <w:t>ISO/IEC </w:t>
      </w:r>
      <w:r w:rsidRPr="00BE07BA">
        <w:rPr>
          <w:rFonts w:ascii="Times New Roman" w:eastAsia="Times New Roman" w:hAnsi="Times New Roman"/>
          <w:sz w:val="24"/>
          <w:szCs w:val="24"/>
          <w:highlight w:val="yellow"/>
        </w:rPr>
        <w:t>23091</w:t>
      </w:r>
      <w:r w:rsidRPr="00BE07BA">
        <w:rPr>
          <w:rFonts w:ascii="Times New Roman" w:eastAsia="MS Mincho" w:hAnsi="Times New Roman"/>
          <w:sz w:val="24"/>
          <w:szCs w:val="24"/>
          <w:highlight w:val="yellow"/>
        </w:rPr>
        <w:t>-</w:t>
      </w:r>
      <w:r w:rsidRPr="00BE07BA">
        <w:rPr>
          <w:rFonts w:eastAsia="MS Mincho"/>
          <w:sz w:val="24"/>
          <w:szCs w:val="24"/>
          <w:highlight w:val="yellow"/>
          <w:shd w:val="clear" w:color="auto" w:fill="EAF1DD"/>
        </w:rPr>
        <w:t>3</w:t>
      </w:r>
      <w:r w:rsidRPr="00BE07BA">
        <w:rPr>
          <w:rFonts w:ascii="Times New Roman" w:eastAsia="MS Mincho" w:hAnsi="Times New Roman"/>
          <w:sz w:val="24"/>
          <w:szCs w:val="24"/>
        </w:rPr>
        <w:t>.</w:t>
      </w:r>
    </w:p>
    <w:p w14:paraId="45589186" w14:textId="77777777" w:rsidR="00BE07BA" w:rsidRPr="00BE07BA" w:rsidRDefault="00BE07BA" w:rsidP="00BE07BA">
      <w:pPr>
        <w:tabs>
          <w:tab w:val="clear" w:pos="403"/>
          <w:tab w:val="left" w:pos="1368"/>
        </w:tabs>
        <w:spacing w:after="240" w:line="220" w:lineRule="atLeast"/>
        <w:ind w:left="403"/>
        <w:jc w:val="left"/>
        <w:rPr>
          <w:rFonts w:ascii="Times New Roman" w:eastAsiaTheme="minorEastAsia" w:hAnsi="Times New Roman"/>
          <w:sz w:val="20"/>
        </w:rPr>
      </w:pPr>
      <w:r w:rsidRPr="00BE07BA">
        <w:rPr>
          <w:rFonts w:ascii="Times New Roman" w:eastAsia="Times New Roman" w:hAnsi="Times New Roman"/>
          <w:sz w:val="20"/>
          <w:szCs w:val="24"/>
        </w:rPr>
        <w:t>NOTE 2</w:t>
      </w:r>
      <w:r w:rsidRPr="00BE07BA">
        <w:rPr>
          <w:rFonts w:ascii="Times New Roman" w:eastAsia="Times New Roman" w:hAnsi="Times New Roman"/>
          <w:sz w:val="20"/>
          <w:szCs w:val="24"/>
        </w:rPr>
        <w:tab/>
        <w:t xml:space="preserve">In addition, a scheme for audio channel configuration is also defined in subclause </w:t>
      </w:r>
      <w:r w:rsidRPr="00BE07BA">
        <w:rPr>
          <w:rFonts w:eastAsia="MS Mincho"/>
          <w:sz w:val="20"/>
          <w:szCs w:val="24"/>
          <w:bdr w:val="none" w:sz="0" w:space="0" w:color="auto" w:frame="1"/>
          <w:shd w:val="clear" w:color="auto" w:fill="FFCCCC"/>
          <w:lang w:val="en-US"/>
        </w:rPr>
        <w:t>5.8.5.4</w:t>
      </w:r>
      <w:r w:rsidRPr="00BE07BA">
        <w:rPr>
          <w:rFonts w:ascii="Times New Roman" w:eastAsia="Times New Roman" w:hAnsi="Times New Roman"/>
          <w:sz w:val="20"/>
          <w:szCs w:val="24"/>
        </w:rPr>
        <w:t xml:space="preserve">. This scheme is maintained for backward compatibility, but it is preferable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highlight w:val="yellow"/>
        </w:rPr>
        <w:t>23091-</w:t>
      </w:r>
      <w:r w:rsidRPr="00BE07BA">
        <w:rPr>
          <w:rFonts w:eastAsia="MS Mincho"/>
          <w:sz w:val="20"/>
          <w:szCs w:val="24"/>
          <w:highlight w:val="yellow"/>
          <w:shd w:val="clear" w:color="auto" w:fill="EAF1DD"/>
        </w:rPr>
        <w:t>3</w:t>
      </w:r>
      <w:r w:rsidRPr="00BE07BA">
        <w:rPr>
          <w:rFonts w:ascii="Times New Roman" w:eastAsia="Times New Roman" w:hAnsi="Times New Roman"/>
          <w:sz w:val="20"/>
          <w:szCs w:val="24"/>
        </w:rPr>
        <w:t>.</w:t>
      </w:r>
    </w:p>
    <w:p w14:paraId="7A8DA33D" w14:textId="335B3469" w:rsidR="00F16BA2" w:rsidRDefault="00F16BA2" w:rsidP="00F16BA2">
      <w:pPr>
        <w:pStyle w:val="Heading1"/>
        <w:rPr>
          <w:lang w:val="en-US"/>
        </w:rPr>
      </w:pPr>
      <w:bookmarkStart w:id="17" w:name="_Toc228540012"/>
      <w:bookmarkStart w:id="18" w:name="_Toc219812945"/>
      <w:bookmarkEnd w:id="12"/>
      <w:r w:rsidRPr="00BE07BA">
        <w:rPr>
          <w:lang w:val="en-US"/>
        </w:rPr>
        <w:t xml:space="preserve">Clause </w:t>
      </w:r>
      <w:r w:rsidR="00E44073">
        <w:rPr>
          <w:lang w:val="en-US"/>
        </w:rPr>
        <w:t>8</w:t>
      </w:r>
      <w:r w:rsidRPr="00BE07BA">
        <w:rPr>
          <w:lang w:val="en-US"/>
        </w:rPr>
        <w:t xml:space="preserve">, </w:t>
      </w:r>
      <w:r w:rsidR="008A30D7">
        <w:rPr>
          <w:lang w:val="en-US"/>
        </w:rPr>
        <w:t>Adding p</w:t>
      </w:r>
      <w:r w:rsidR="008A30D7" w:rsidRPr="008A30D7">
        <w:rPr>
          <w:lang w:val="en-US"/>
        </w:rPr>
        <w:t>reselection</w:t>
      </w:r>
      <w:r w:rsidR="008A30D7">
        <w:rPr>
          <w:lang w:val="en-US"/>
        </w:rPr>
        <w:t xml:space="preserve"> to DASH profile for CMAF content</w:t>
      </w:r>
      <w:bookmarkEnd w:id="17"/>
    </w:p>
    <w:p w14:paraId="4E31CE2E" w14:textId="4061EE5E" w:rsidR="00BB215D" w:rsidRPr="00BB215D" w:rsidRDefault="00BB215D" w:rsidP="00BB215D">
      <w:pPr>
        <w:pStyle w:val="Heading2"/>
        <w:rPr>
          <w:lang w:val="en-US"/>
        </w:rPr>
      </w:pPr>
      <w:bookmarkStart w:id="19" w:name="_Toc228540013"/>
      <w:r w:rsidRPr="00BB215D">
        <w:rPr>
          <w:lang w:val="en-US"/>
        </w:rPr>
        <w:t>clause 8.12.3.3</w:t>
      </w:r>
      <w:bookmarkEnd w:id="19"/>
      <w:r w:rsidRPr="00BB215D">
        <w:rPr>
          <w:lang w:val="en-US"/>
        </w:rPr>
        <w:t xml:space="preserve"> </w:t>
      </w:r>
    </w:p>
    <w:p w14:paraId="5EE8D268" w14:textId="77777777" w:rsidR="00EB67C2" w:rsidRPr="00EB67C2" w:rsidRDefault="00EB67C2" w:rsidP="00EB67C2">
      <w:pPr>
        <w:rPr>
          <w:i/>
          <w:iCs/>
          <w:lang w:val="en-US" w:eastAsia="ja-JP"/>
        </w:rPr>
      </w:pPr>
      <w:r w:rsidRPr="00EB67C2">
        <w:rPr>
          <w:i/>
          <w:iCs/>
          <w:lang w:val="en-US" w:eastAsia="ja-JP"/>
        </w:rPr>
        <w:t>In clause 8.12.3.3 (“Mapping of CMAF Structures”), add a new bullet point:</w:t>
      </w:r>
    </w:p>
    <w:p w14:paraId="24DCBDE0" w14:textId="77777777" w:rsidR="00EB67C2" w:rsidRPr="00EB67C2" w:rsidRDefault="00EB67C2" w:rsidP="00EB67C2">
      <w:pPr>
        <w:rPr>
          <w:lang w:val="en-US" w:eastAsia="ja-JP"/>
        </w:rPr>
      </w:pPr>
    </w:p>
    <w:p w14:paraId="436CFB1D" w14:textId="77777777" w:rsidR="00EB67C2" w:rsidRPr="00EB67C2" w:rsidRDefault="00EB67C2" w:rsidP="00EB67C2">
      <w:pPr>
        <w:numPr>
          <w:ilvl w:val="0"/>
          <w:numId w:val="57"/>
        </w:numPr>
        <w:rPr>
          <w:lang w:val="en-US" w:eastAsia="ja-JP"/>
        </w:rPr>
      </w:pPr>
      <w:r w:rsidRPr="00EB67C2">
        <w:rPr>
          <w:lang w:val="en-US" w:eastAsia="ja-JP"/>
        </w:rPr>
        <w:t>The mapping of PreselectionGroupBoxes from CMAF Principal Headers to DASH Preselection elements, including the conversion of contained metadata boxes to appropriate DASH descriptors and attributes.</w:t>
      </w:r>
    </w:p>
    <w:p w14:paraId="46EA5EFA" w14:textId="77777777" w:rsidR="00EB67C2" w:rsidRPr="00EB67C2" w:rsidRDefault="00EB67C2" w:rsidP="00EB67C2">
      <w:pPr>
        <w:rPr>
          <w:lang w:val="en-US" w:eastAsia="ja-JP"/>
        </w:rPr>
      </w:pPr>
    </w:p>
    <w:p w14:paraId="284A75B0" w14:textId="0DBC246A" w:rsidR="00EB67C2" w:rsidRPr="00BB215D" w:rsidRDefault="00BB215D" w:rsidP="00EB67C2">
      <w:pPr>
        <w:pStyle w:val="Heading2"/>
        <w:rPr>
          <w:lang w:val="en-US"/>
        </w:rPr>
      </w:pPr>
      <w:bookmarkStart w:id="20" w:name="_Toc228540014"/>
      <w:r w:rsidRPr="00BB215D">
        <w:rPr>
          <w:lang w:val="en-US"/>
        </w:rPr>
        <w:t>clause 8.12.</w:t>
      </w:r>
      <w:r>
        <w:rPr>
          <w:lang w:val="en-US"/>
        </w:rPr>
        <w:t>4.4</w:t>
      </w:r>
      <w:bookmarkEnd w:id="20"/>
    </w:p>
    <w:p w14:paraId="4B91A4BF" w14:textId="77777777" w:rsidR="00EB67C2" w:rsidRPr="00EB67C2" w:rsidRDefault="00EB67C2" w:rsidP="00EB67C2">
      <w:pPr>
        <w:rPr>
          <w:i/>
          <w:iCs/>
          <w:lang w:val="en-US" w:eastAsia="ja-JP"/>
        </w:rPr>
      </w:pPr>
      <w:r w:rsidRPr="00EB67C2">
        <w:rPr>
          <w:i/>
          <w:iCs/>
          <w:lang w:val="en-US" w:eastAsia="ja-JP"/>
        </w:rPr>
        <w:t>In clause 8.12.4.4 (“Period Constraints”), add after existing constraints:</w:t>
      </w:r>
    </w:p>
    <w:p w14:paraId="2D6A1BFD" w14:textId="77777777" w:rsidR="00EB67C2" w:rsidRPr="00EB67C2" w:rsidRDefault="00EB67C2" w:rsidP="00EB67C2">
      <w:pPr>
        <w:rPr>
          <w:lang w:val="en-US" w:eastAsia="ja-JP"/>
        </w:rPr>
      </w:pPr>
    </w:p>
    <w:p w14:paraId="5AC08243" w14:textId="77777777" w:rsidR="00EB67C2" w:rsidRPr="00EB67C2" w:rsidRDefault="00EB67C2" w:rsidP="00EB67C2">
      <w:pPr>
        <w:rPr>
          <w:lang w:val="en-US" w:eastAsia="ja-JP"/>
        </w:rPr>
      </w:pPr>
      <w:r w:rsidRPr="00EB67C2">
        <w:rPr>
          <w:lang w:val="en-US" w:eastAsia="ja-JP"/>
        </w:rPr>
        <w:t>If PreselectionGroupBoxes are present in CMAF Principal Headers, the corresponding Preselection elements shall be present at the Period level and shall reference the Adaptation Sets that correspond to the CMAF Switching Sets referenced by the PreselectionGroupBoxes. Details are provided in 8.12.4.X.</w:t>
      </w:r>
    </w:p>
    <w:p w14:paraId="3C1C85AE" w14:textId="77777777" w:rsidR="00EB67C2" w:rsidRDefault="00EB67C2" w:rsidP="00EB67C2">
      <w:pPr>
        <w:rPr>
          <w:lang w:val="en-US" w:eastAsia="ja-JP"/>
        </w:rPr>
      </w:pPr>
    </w:p>
    <w:p w14:paraId="1BFB6F1C" w14:textId="4C277CC1" w:rsidR="00BB215D" w:rsidRPr="00BB215D" w:rsidRDefault="00BB215D" w:rsidP="00EB67C2">
      <w:pPr>
        <w:pStyle w:val="Heading2"/>
        <w:rPr>
          <w:lang w:val="en-US"/>
        </w:rPr>
      </w:pPr>
      <w:bookmarkStart w:id="21" w:name="_Toc228540015"/>
      <w:r>
        <w:rPr>
          <w:lang w:val="en-US"/>
        </w:rPr>
        <w:t xml:space="preserve">new </w:t>
      </w:r>
      <w:r w:rsidRPr="00BB215D">
        <w:rPr>
          <w:lang w:val="en-US"/>
        </w:rPr>
        <w:t>clause 8.12.</w:t>
      </w:r>
      <w:r>
        <w:rPr>
          <w:lang w:val="en-US"/>
        </w:rPr>
        <w:t>8.1 or 8.12.4.6</w:t>
      </w:r>
      <w:bookmarkEnd w:id="21"/>
    </w:p>
    <w:p w14:paraId="2D412CBE" w14:textId="77777777" w:rsidR="00EB67C2" w:rsidRPr="00EB67C2" w:rsidRDefault="00EB67C2" w:rsidP="00EB67C2">
      <w:pPr>
        <w:rPr>
          <w:i/>
          <w:iCs/>
          <w:lang w:val="en-US" w:eastAsia="ja-JP"/>
        </w:rPr>
      </w:pPr>
      <w:r w:rsidRPr="00EB67C2">
        <w:rPr>
          <w:i/>
          <w:iCs/>
          <w:lang w:val="en-US" w:eastAsia="ja-JP"/>
        </w:rPr>
        <w:t>Add the following new clause where appropriate (e.g. as new clause 8.12.8.1 or 8.12.4.6</w:t>
      </w:r>
      <w:r w:rsidRPr="00EB67C2">
        <w:rPr>
          <w:i/>
          <w:iCs/>
          <w:vertAlign w:val="superscript"/>
          <w:lang w:val="en-US" w:eastAsia="ja-JP"/>
        </w:rPr>
        <w:footnoteReference w:id="2"/>
      </w:r>
      <w:r w:rsidRPr="00EB67C2">
        <w:rPr>
          <w:i/>
          <w:iCs/>
          <w:lang w:val="en-US" w:eastAsia="ja-JP"/>
        </w:rPr>
        <w:t>):</w:t>
      </w:r>
    </w:p>
    <w:p w14:paraId="385E4845" w14:textId="77777777" w:rsidR="00EB67C2" w:rsidRPr="00EB67C2" w:rsidRDefault="00EB67C2" w:rsidP="00EB67C2">
      <w:pPr>
        <w:rPr>
          <w:lang w:val="en-US" w:eastAsia="ja-JP"/>
        </w:rPr>
      </w:pPr>
    </w:p>
    <w:p w14:paraId="14075157" w14:textId="77777777" w:rsidR="00EB67C2" w:rsidRPr="00EB67C2" w:rsidRDefault="00EB67C2" w:rsidP="00EB67C2">
      <w:pPr>
        <w:rPr>
          <w:lang w:eastAsia="ja-JP"/>
        </w:rPr>
      </w:pPr>
      <w:r w:rsidRPr="00EB67C2">
        <w:rPr>
          <w:lang w:eastAsia="ja-JP"/>
        </w:rPr>
        <w:t>If the CMAF Principal Header contains one or more PreselectionGroupBoxes as defined in ISO/IEC 14496-12, 8th edition, each instance thereof shall be mapped to a Preselection element in the MPD according to the following rules:</w:t>
      </w:r>
    </w:p>
    <w:p w14:paraId="77C83B03" w14:textId="77777777" w:rsidR="00EB67C2" w:rsidRPr="00EB67C2" w:rsidRDefault="00EB67C2" w:rsidP="00EB67C2">
      <w:pPr>
        <w:numPr>
          <w:ilvl w:val="0"/>
          <w:numId w:val="58"/>
        </w:numPr>
        <w:rPr>
          <w:lang w:eastAsia="ja-JP"/>
        </w:rPr>
      </w:pPr>
      <w:r w:rsidRPr="00EB67C2">
        <w:rPr>
          <w:b/>
          <w:lang w:eastAsia="ja-JP"/>
        </w:rPr>
        <w:t>Preselection</w:t>
      </w:r>
      <w:r w:rsidRPr="00EB67C2">
        <w:rPr>
          <w:lang w:eastAsia="ja-JP"/>
        </w:rPr>
        <w:t xml:space="preserve">@id attribute: The value of the group_id in the PreselectionGroupBox may be assigned to the </w:t>
      </w:r>
      <w:r w:rsidRPr="00EB67C2">
        <w:rPr>
          <w:b/>
          <w:lang w:eastAsia="ja-JP"/>
        </w:rPr>
        <w:t>Preselection</w:t>
      </w:r>
      <w:r w:rsidRPr="00EB67C2">
        <w:rPr>
          <w:lang w:eastAsia="ja-JP"/>
        </w:rPr>
        <w:t>@id attribute.</w:t>
      </w:r>
    </w:p>
    <w:p w14:paraId="578CDC12" w14:textId="77777777" w:rsidR="00EB67C2" w:rsidRPr="00EB67C2" w:rsidRDefault="00EB67C2" w:rsidP="00EB67C2">
      <w:pPr>
        <w:numPr>
          <w:ilvl w:val="0"/>
          <w:numId w:val="58"/>
        </w:numPr>
        <w:rPr>
          <w:lang w:eastAsia="ja-JP"/>
        </w:rPr>
      </w:pPr>
      <w:r w:rsidRPr="00EB67C2">
        <w:rPr>
          <w:b/>
          <w:lang w:eastAsia="ja-JP"/>
        </w:rPr>
        <w:t>Preselection</w:t>
      </w:r>
      <w:r w:rsidRPr="00EB67C2">
        <w:rPr>
          <w:lang w:eastAsia="ja-JP"/>
        </w:rPr>
        <w:t xml:space="preserve">@preselectionComponents attribute: The tracks referenced through the entity_id in the PreselectionGroupBox shall be assigned to the </w:t>
      </w:r>
      <w:r w:rsidRPr="00EB67C2">
        <w:rPr>
          <w:b/>
          <w:lang w:eastAsia="ja-JP"/>
        </w:rPr>
        <w:t>Preselection</w:t>
      </w:r>
      <w:r w:rsidRPr="00EB67C2">
        <w:rPr>
          <w:lang w:eastAsia="ja-JP"/>
        </w:rPr>
        <w:t xml:space="preserve">@preselectionComponents attribute, where each value of an entity_id is represented by the corresponding </w:t>
      </w:r>
      <w:r w:rsidRPr="00EB67C2">
        <w:rPr>
          <w:b/>
          <w:lang w:eastAsia="ja-JP"/>
        </w:rPr>
        <w:t>AdaptationSet</w:t>
      </w:r>
      <w:r w:rsidRPr="00EB67C2">
        <w:rPr>
          <w:lang w:eastAsia="ja-JP"/>
        </w:rPr>
        <w:t xml:space="preserve">@id value. The </w:t>
      </w:r>
      <w:r w:rsidRPr="00EB67C2">
        <w:rPr>
          <w:lang w:eastAsia="ja-JP"/>
        </w:rPr>
        <w:lastRenderedPageBreak/>
        <w:t>order of the entries in the @preselectionComponents attribute shall be the same as in the loop of entity_ids in the PreselectionGroupBox.</w:t>
      </w:r>
    </w:p>
    <w:p w14:paraId="51E393A7" w14:textId="77777777" w:rsidR="00EB67C2" w:rsidRPr="00EB67C2" w:rsidRDefault="00EB67C2" w:rsidP="00EB67C2">
      <w:pPr>
        <w:numPr>
          <w:ilvl w:val="0"/>
          <w:numId w:val="58"/>
        </w:numPr>
        <w:rPr>
          <w:lang w:eastAsia="ja-JP"/>
        </w:rPr>
      </w:pPr>
      <w:r w:rsidRPr="00EB67C2">
        <w:rPr>
          <w:b/>
          <w:lang w:eastAsia="ja-JP"/>
        </w:rPr>
        <w:t>Preselection</w:t>
      </w:r>
      <w:r w:rsidRPr="00EB67C2">
        <w:rPr>
          <w:lang w:eastAsia="ja-JP"/>
        </w:rPr>
        <w:t xml:space="preserve">@tag attribute: If the preselection_tag is present in the PreselectionGroupBox, its value shall be assigned to the </w:t>
      </w:r>
      <w:r w:rsidRPr="00EB67C2">
        <w:rPr>
          <w:b/>
          <w:lang w:eastAsia="ja-JP"/>
        </w:rPr>
        <w:t>Preselection</w:t>
      </w:r>
      <w:r w:rsidRPr="00EB67C2">
        <w:rPr>
          <w:lang w:eastAsia="ja-JP"/>
        </w:rPr>
        <w:t>@tag attribute. Otherwise, this attribute should be absent.</w:t>
      </w:r>
    </w:p>
    <w:p w14:paraId="22A443D6" w14:textId="77777777" w:rsidR="00EB67C2" w:rsidRPr="00EB67C2" w:rsidRDefault="00EB67C2" w:rsidP="00EB67C2">
      <w:pPr>
        <w:numPr>
          <w:ilvl w:val="0"/>
          <w:numId w:val="58"/>
        </w:numPr>
        <w:rPr>
          <w:lang w:eastAsia="ja-JP"/>
        </w:rPr>
      </w:pPr>
      <w:r w:rsidRPr="00EB67C2">
        <w:rPr>
          <w:b/>
          <w:lang w:eastAsia="ja-JP"/>
        </w:rPr>
        <w:t>Preselection</w:t>
      </w:r>
      <w:r w:rsidRPr="00EB67C2">
        <w:rPr>
          <w:lang w:eastAsia="ja-JP"/>
        </w:rPr>
        <w:t xml:space="preserve">@selectionPriority attribute: If the preselection_priority is present in the PreselectionGroupBox, its value should be assigned to the </w:t>
      </w:r>
      <w:r w:rsidRPr="00EB67C2">
        <w:rPr>
          <w:b/>
          <w:lang w:eastAsia="ja-JP"/>
        </w:rPr>
        <w:t>Preselection</w:t>
      </w:r>
      <w:r w:rsidRPr="00EB67C2">
        <w:rPr>
          <w:lang w:eastAsia="ja-JP"/>
        </w:rPr>
        <w:t>@selectionPriority attribute. Otherwise, this attribute may be absent.</w:t>
      </w:r>
    </w:p>
    <w:p w14:paraId="12CB3E3D" w14:textId="77777777" w:rsidR="00EB67C2" w:rsidRPr="00EB67C2" w:rsidRDefault="00EB67C2" w:rsidP="00EB67C2">
      <w:pPr>
        <w:rPr>
          <w:lang w:eastAsia="ja-JP"/>
        </w:rPr>
      </w:pPr>
      <w:r w:rsidRPr="00EB67C2">
        <w:rPr>
          <w:lang w:val="en-US" w:eastAsia="ja-JP"/>
        </w:rPr>
        <w:t>NOTE X There are cases where the selection priority was set in the encoded bitstream on a best knowledge basis, but when multiple encodings are combined in single MPD, the direct usage of the selection priority defined in the media is not suitable in the MPD. In such cases the selection priority could be omitted or set differently.</w:t>
      </w:r>
    </w:p>
    <w:p w14:paraId="1A1F674E" w14:textId="77777777" w:rsidR="00EB67C2" w:rsidRPr="00EB67C2" w:rsidRDefault="00EB67C2" w:rsidP="00EB67C2">
      <w:pPr>
        <w:numPr>
          <w:ilvl w:val="0"/>
          <w:numId w:val="58"/>
        </w:numPr>
        <w:rPr>
          <w:lang w:eastAsia="ja-JP"/>
        </w:rPr>
      </w:pPr>
      <w:r w:rsidRPr="00EB67C2">
        <w:rPr>
          <w:b/>
          <w:lang w:eastAsia="ja-JP"/>
        </w:rPr>
        <w:t>Preselection</w:t>
      </w:r>
      <w:r w:rsidRPr="00EB67C2">
        <w:rPr>
          <w:lang w:eastAsia="ja-JP"/>
        </w:rPr>
        <w:t xml:space="preserve">@order attribute: If the interleaving_tag is present in the PreselectionGroupBox, its value shall be used to determine the </w:t>
      </w:r>
      <w:r w:rsidRPr="00EB67C2">
        <w:rPr>
          <w:b/>
          <w:lang w:eastAsia="ja-JP"/>
        </w:rPr>
        <w:t>Preselection</w:t>
      </w:r>
      <w:r w:rsidRPr="00EB67C2">
        <w:rPr>
          <w:lang w:eastAsia="ja-JP"/>
        </w:rPr>
        <w:t>@order attribute. If the interleaving_tag is not present, the @order shall either be set to "undefined" or be absent.</w:t>
      </w:r>
    </w:p>
    <w:p w14:paraId="41CAD734" w14:textId="77777777" w:rsidR="00EB67C2" w:rsidRPr="00EB67C2" w:rsidRDefault="00EB67C2" w:rsidP="00EB67C2">
      <w:pPr>
        <w:numPr>
          <w:ilvl w:val="0"/>
          <w:numId w:val="58"/>
        </w:numPr>
        <w:rPr>
          <w:lang w:eastAsia="ja-JP"/>
        </w:rPr>
      </w:pPr>
      <w:r w:rsidRPr="00EB67C2">
        <w:rPr>
          <w:lang w:eastAsia="ja-JP"/>
        </w:rPr>
        <w:t>Additional boxes in PreselectionGroupBox: If additional boxes are present in a PreselectionGroupBox, the following mappings shall apply according to the recommendations in clause 8.12.4.3:</w:t>
      </w:r>
    </w:p>
    <w:p w14:paraId="1DAEC4C1" w14:textId="77777777" w:rsidR="00EB67C2" w:rsidRPr="00EB67C2" w:rsidRDefault="00EB67C2" w:rsidP="00EB67C2">
      <w:pPr>
        <w:numPr>
          <w:ilvl w:val="1"/>
          <w:numId w:val="59"/>
        </w:numPr>
        <w:rPr>
          <w:lang w:eastAsia="ja-JP"/>
        </w:rPr>
      </w:pPr>
      <w:r w:rsidRPr="00EB67C2">
        <w:rPr>
          <w:lang w:eastAsia="ja-JP"/>
        </w:rPr>
        <w:t xml:space="preserve">An ExtendedLanguageBox shall be mapped to the </w:t>
      </w:r>
      <w:r w:rsidRPr="00EB67C2">
        <w:rPr>
          <w:b/>
          <w:lang w:eastAsia="ja-JP"/>
        </w:rPr>
        <w:t>Preselection</w:t>
      </w:r>
      <w:r w:rsidRPr="00EB67C2">
        <w:rPr>
          <w:lang w:eastAsia="ja-JP"/>
        </w:rPr>
        <w:t>@lang attribute.</w:t>
      </w:r>
    </w:p>
    <w:p w14:paraId="54BED1F1" w14:textId="77777777" w:rsidR="00EB67C2" w:rsidRPr="00EB67C2" w:rsidRDefault="00EB67C2" w:rsidP="00EB67C2">
      <w:pPr>
        <w:numPr>
          <w:ilvl w:val="1"/>
          <w:numId w:val="59"/>
        </w:numPr>
        <w:rPr>
          <w:lang w:eastAsia="ja-JP"/>
        </w:rPr>
      </w:pPr>
      <w:r w:rsidRPr="00EB67C2">
        <w:rPr>
          <w:lang w:eastAsia="ja-JP"/>
        </w:rPr>
        <w:t xml:space="preserve">KindBoxes should be converted to </w:t>
      </w:r>
      <w:r w:rsidRPr="00EB67C2">
        <w:rPr>
          <w:b/>
          <w:lang w:eastAsia="ja-JP"/>
        </w:rPr>
        <w:t>Role</w:t>
      </w:r>
      <w:r w:rsidRPr="00EB67C2">
        <w:rPr>
          <w:lang w:eastAsia="ja-JP"/>
        </w:rPr>
        <w:t xml:space="preserve"> and </w:t>
      </w:r>
      <w:r w:rsidRPr="00EB67C2">
        <w:rPr>
          <w:b/>
          <w:lang w:eastAsia="ja-JP"/>
        </w:rPr>
        <w:t>Accessibility</w:t>
      </w:r>
      <w:r w:rsidRPr="00EB67C2">
        <w:rPr>
          <w:lang w:eastAsia="ja-JP"/>
        </w:rPr>
        <w:t xml:space="preserve"> descriptors or other attributes and elements.</w:t>
      </w:r>
    </w:p>
    <w:p w14:paraId="3788DC60" w14:textId="77777777" w:rsidR="00EB67C2" w:rsidRPr="00EB67C2" w:rsidRDefault="00EB67C2" w:rsidP="00EB67C2">
      <w:pPr>
        <w:numPr>
          <w:ilvl w:val="1"/>
          <w:numId w:val="59"/>
        </w:numPr>
        <w:rPr>
          <w:lang w:eastAsia="ja-JP"/>
        </w:rPr>
      </w:pPr>
      <w:r w:rsidRPr="00EB67C2">
        <w:rPr>
          <w:lang w:eastAsia="ja-JP"/>
        </w:rPr>
        <w:t xml:space="preserve">Any ChannelLayoutBox or AudioRenderingIndicationBox shall be converted to an </w:t>
      </w:r>
      <w:r w:rsidRPr="00EB67C2">
        <w:rPr>
          <w:b/>
          <w:lang w:eastAsia="ja-JP"/>
        </w:rPr>
        <w:t>AudioChannelConfiguration</w:t>
      </w:r>
      <w:r w:rsidRPr="00EB67C2">
        <w:rPr>
          <w:lang w:eastAsia="ja-JP"/>
        </w:rPr>
        <w:t xml:space="preserve"> descriptor.</w:t>
      </w:r>
    </w:p>
    <w:p w14:paraId="187B0FD7" w14:textId="77777777" w:rsidR="00EB67C2" w:rsidRPr="00EB67C2" w:rsidRDefault="00EB67C2" w:rsidP="00EB67C2">
      <w:pPr>
        <w:numPr>
          <w:ilvl w:val="0"/>
          <w:numId w:val="59"/>
        </w:numPr>
        <w:rPr>
          <w:lang w:eastAsia="ja-JP"/>
        </w:rPr>
      </w:pPr>
      <w:r w:rsidRPr="00EB67C2">
        <w:rPr>
          <w:lang w:eastAsia="ja-JP"/>
        </w:rPr>
        <w:t xml:space="preserve">Preselection descriptor: All DASH </w:t>
      </w:r>
      <w:r w:rsidRPr="00EB67C2">
        <w:rPr>
          <w:b/>
          <w:lang w:eastAsia="ja-JP"/>
        </w:rPr>
        <w:t>AdaptationSets</w:t>
      </w:r>
      <w:r w:rsidRPr="00EB67C2">
        <w:rPr>
          <w:lang w:eastAsia="ja-JP"/>
        </w:rPr>
        <w:t xml:space="preserve"> comprising any </w:t>
      </w:r>
      <w:r w:rsidRPr="00EB67C2">
        <w:rPr>
          <w:b/>
          <w:lang w:eastAsia="ja-JP"/>
        </w:rPr>
        <w:t>Preselection</w:t>
      </w:r>
      <w:r w:rsidRPr="00EB67C2">
        <w:rPr>
          <w:lang w:eastAsia="ja-JP"/>
        </w:rPr>
        <w:t xml:space="preserve"> may have a </w:t>
      </w:r>
      <w:r w:rsidRPr="00EB67C2">
        <w:rPr>
          <w:b/>
          <w:lang w:eastAsia="ja-JP"/>
        </w:rPr>
        <w:t>SupplementalProperty</w:t>
      </w:r>
      <w:r w:rsidRPr="00EB67C2">
        <w:rPr>
          <w:lang w:eastAsia="ja-JP"/>
        </w:rPr>
        <w:t xml:space="preserve"> descriptor assigned with @schemeIdUri set to "urn:mpeg:dash:preselection:2016" and the value being absent. If the </w:t>
      </w:r>
      <w:r w:rsidRPr="00EB67C2">
        <w:rPr>
          <w:b/>
          <w:lang w:eastAsia="ja-JP"/>
        </w:rPr>
        <w:t>AdaptationSet</w:t>
      </w:r>
      <w:r w:rsidRPr="00EB67C2">
        <w:rPr>
          <w:lang w:eastAsia="ja-JP"/>
        </w:rPr>
        <w:t xml:space="preserve"> contributing to at least one Preselection is never referenced as the main </w:t>
      </w:r>
      <w:r w:rsidRPr="00EB67C2">
        <w:rPr>
          <w:b/>
          <w:lang w:eastAsia="ja-JP"/>
        </w:rPr>
        <w:t>AdaptationSet</w:t>
      </w:r>
      <w:r w:rsidRPr="00EB67C2">
        <w:rPr>
          <w:lang w:eastAsia="ja-JP"/>
        </w:rPr>
        <w:t xml:space="preserve"> (i.e., is never the first entry in the list of </w:t>
      </w:r>
      <w:r w:rsidRPr="00EB67C2">
        <w:rPr>
          <w:b/>
          <w:lang w:eastAsia="ja-JP"/>
        </w:rPr>
        <w:t>AdaptationSet</w:t>
      </w:r>
      <w:r w:rsidRPr="00EB67C2">
        <w:rPr>
          <w:lang w:eastAsia="ja-JP"/>
        </w:rPr>
        <w:t xml:space="preserve">@id values in the </w:t>
      </w:r>
      <w:r w:rsidRPr="00EB67C2">
        <w:rPr>
          <w:b/>
          <w:lang w:eastAsia="ja-JP"/>
        </w:rPr>
        <w:t>Preselection</w:t>
      </w:r>
      <w:r w:rsidRPr="00EB67C2">
        <w:rPr>
          <w:lang w:eastAsia="ja-JP"/>
        </w:rPr>
        <w:t xml:space="preserve">@preselectionComponents list), an </w:t>
      </w:r>
      <w:r w:rsidRPr="00EB67C2">
        <w:rPr>
          <w:b/>
          <w:lang w:eastAsia="ja-JP"/>
        </w:rPr>
        <w:t>EssentialProperty</w:t>
      </w:r>
      <w:r w:rsidRPr="00EB67C2">
        <w:rPr>
          <w:lang w:eastAsia="ja-JP"/>
        </w:rPr>
        <w:t xml:space="preserve"> descriptor shall be used instead and shall be present.</w:t>
      </w:r>
    </w:p>
    <w:p w14:paraId="4EAAC82B" w14:textId="77777777" w:rsidR="008A30D7" w:rsidRPr="00EB67C2" w:rsidRDefault="008A30D7" w:rsidP="008A30D7">
      <w:pPr>
        <w:rPr>
          <w:lang w:eastAsia="ja-JP"/>
        </w:rPr>
      </w:pPr>
    </w:p>
    <w:p w14:paraId="71D38DCE" w14:textId="77777777" w:rsidR="00BE07BA" w:rsidRPr="00BE07BA" w:rsidRDefault="00BE07BA" w:rsidP="00BE07BA">
      <w:pPr>
        <w:pStyle w:val="Heading1"/>
        <w:rPr>
          <w:lang w:val="en-US"/>
        </w:rPr>
      </w:pPr>
      <w:bookmarkStart w:id="22" w:name="_Toc228540016"/>
      <w:r w:rsidRPr="00BE07BA">
        <w:rPr>
          <w:lang w:val="en-US"/>
        </w:rPr>
        <w:t>Annex I, Flexible Insertion of URL Parameters</w:t>
      </w:r>
      <w:bookmarkEnd w:id="18"/>
      <w:bookmarkEnd w:id="22"/>
    </w:p>
    <w:p w14:paraId="5BF406A7" w14:textId="77777777" w:rsidR="00BE07BA" w:rsidRPr="00BE07BA" w:rsidRDefault="00BE07BA" w:rsidP="00BE07BA">
      <w:pPr>
        <w:pStyle w:val="Heading2"/>
        <w:rPr>
          <w:lang w:val="en-US"/>
        </w:rPr>
      </w:pPr>
      <w:bookmarkStart w:id="23" w:name="_Toc219812946"/>
      <w:bookmarkStart w:id="24" w:name="_Toc228540017"/>
      <w:r w:rsidRPr="00BE07BA">
        <w:rPr>
          <w:lang w:val="en-US"/>
        </w:rPr>
        <w:t>Clause I.1, General</w:t>
      </w:r>
      <w:bookmarkEnd w:id="23"/>
      <w:bookmarkEnd w:id="24"/>
    </w:p>
    <w:p w14:paraId="3BB02762"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Add a new subsection immediately after the current Annex I introduction:</w:t>
      </w:r>
    </w:p>
    <w:p w14:paraId="6FE3B7F6" w14:textId="77777777" w:rsidR="00BE07BA" w:rsidRPr="00BE07BA" w:rsidRDefault="00BE07BA" w:rsidP="00BE07BA">
      <w:pPr>
        <w:tabs>
          <w:tab w:val="clear" w:pos="403"/>
        </w:tabs>
        <w:spacing w:after="0" w:line="240" w:lineRule="auto"/>
        <w:jc w:val="left"/>
        <w:rPr>
          <w:rFonts w:ascii="Times New Roman" w:eastAsia="Times New Roman" w:hAnsi="Times New Roman"/>
          <w:b/>
          <w:bCs/>
          <w:sz w:val="24"/>
          <w:szCs w:val="24"/>
          <w:lang w:val="en-US" w:eastAsia="zh-CN"/>
        </w:rPr>
      </w:pPr>
      <w:r w:rsidRPr="00BE07BA">
        <w:rPr>
          <w:rFonts w:ascii="Times New Roman" w:eastAsia="Times New Roman" w:hAnsi="Times New Roman"/>
          <w:b/>
          <w:bCs/>
          <w:sz w:val="24"/>
          <w:szCs w:val="24"/>
          <w:lang w:val="en-US" w:eastAsia="zh-CN"/>
        </w:rPr>
        <w:t>I.1.</w:t>
      </w:r>
      <w:r w:rsidRPr="00BE07BA">
        <w:rPr>
          <w:rFonts w:ascii="Times New Roman" w:eastAsia="Times New Roman" w:hAnsi="Times New Roman"/>
          <w:b/>
          <w:bCs/>
          <w:sz w:val="24"/>
          <w:szCs w:val="24"/>
          <w:highlight w:val="yellow"/>
          <w:lang w:val="en-US" w:eastAsia="zh-CN"/>
        </w:rPr>
        <w:t>X</w:t>
      </w:r>
      <w:r w:rsidRPr="00BE07BA">
        <w:rPr>
          <w:rFonts w:ascii="Times New Roman" w:eastAsia="Times New Roman" w:hAnsi="Times New Roman"/>
          <w:b/>
          <w:bCs/>
          <w:sz w:val="24"/>
          <w:szCs w:val="24"/>
          <w:lang w:val="en-US" w:eastAsia="zh-CN"/>
        </w:rPr>
        <w:t xml:space="preserve"> Processing Model and Inheritance Behavior</w:t>
      </w:r>
    </w:p>
    <w:p w14:paraId="0E153EA6"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 xml:space="preserve">The processing of descriptors defined in this Annex deviates from the general inheritance principle described in Clause 5.3.3.1. </w:t>
      </w:r>
    </w:p>
    <w:p w14:paraId="60111788"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While it is forbidden that SupplementalProperty or EssentialProperty descriptors can be present at both AdaptationSet and Representation level (and if so, that descriptor on the lower level would take precedence over the default value from the higher level), the Annex I processing model is as follows: For descriptors with schemeIdUri values defined in this Annex, values from multiple levels are concatenated rather than replaced. The concatenation order is specified for each descriptor type in the respective subsections.</w:t>
      </w:r>
    </w:p>
    <w:p w14:paraId="0AC0A336"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This special processing model only applies to all descriptors referencing schemeIdUri values defined in this Annex, unless explicitly stated otherwise for a specific schemeIdUri.</w:t>
      </w:r>
    </w:p>
    <w:p w14:paraId="1B420A30"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b/>
          <w:bCs/>
          <w:sz w:val="24"/>
          <w:szCs w:val="24"/>
          <w:lang w:val="en-US" w:eastAsia="zh-CN"/>
        </w:rPr>
        <w:t>Note:</w:t>
      </w:r>
      <w:r w:rsidRPr="00BE07BA">
        <w:rPr>
          <w:rFonts w:ascii="Times New Roman" w:eastAsia="Times New Roman" w:hAnsi="Times New Roman"/>
          <w:sz w:val="24"/>
          <w:szCs w:val="24"/>
          <w:lang w:val="en-US" w:eastAsia="zh-CN"/>
        </w:rPr>
        <w:t xml:space="preserve"> Content authors and client implementers should be aware that this processing model differs fundamentally from the general DASH inheritance mechanism and requires specific implementation logic.</w:t>
      </w:r>
    </w:p>
    <w:p w14:paraId="4F8D966C" w14:textId="77777777" w:rsidR="00BE07BA" w:rsidRPr="00BE07BA" w:rsidRDefault="00BE07BA" w:rsidP="00BE07BA">
      <w:pPr>
        <w:pStyle w:val="Heading2"/>
        <w:rPr>
          <w:lang w:val="en-US"/>
        </w:rPr>
      </w:pPr>
      <w:bookmarkStart w:id="25" w:name="_Toc219812947"/>
      <w:bookmarkStart w:id="26" w:name="_Toc228540018"/>
      <w:r w:rsidRPr="00BE07BA">
        <w:rPr>
          <w:lang w:val="en-US"/>
        </w:rPr>
        <w:lastRenderedPageBreak/>
        <w:t>Clause I.2.3.3, Computation of a final query string</w:t>
      </w:r>
      <w:bookmarkEnd w:id="25"/>
      <w:bookmarkEnd w:id="26"/>
    </w:p>
    <w:p w14:paraId="05D095EA"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In clause I.2.3.3, replace the current text:</w:t>
      </w:r>
    </w:p>
    <w:p w14:paraId="2E13DBF8"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When two or more occurrences of URL query descriptors exist within an MPD, the final query string used at the Representation level is a concatenation of the corresponding URL query strings of the occurrences in their orders of appearance in the MPD hierarchy.</w:t>
      </w:r>
    </w:p>
    <w:p w14:paraId="4AEA8825"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With:</w:t>
      </w:r>
    </w:p>
    <w:p w14:paraId="2275BF1F"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r w:rsidRPr="00BE07BA">
        <w:rPr>
          <w:rFonts w:ascii="Times New Roman" w:eastAsia="Times New Roman" w:hAnsi="Times New Roman"/>
          <w:sz w:val="24"/>
          <w:szCs w:val="24"/>
          <w:lang w:val="en-US" w:eastAsia="ja-JP"/>
        </w:rPr>
        <w:t>Deviation from general inheritance: Unlike the general inheritance principle defined in Clause 5.3.3.1, where lower-level values override higher-level values, URL query descriptors use a concatenation model. When two or more occurrences of URL query descriptors exist within an MPD, the final query string used at the Representation level is a concatenation of the corresponding URL query strings of the occurrences in their orders of appearance in the MPD hierarchy. This means that a Representation-level descriptor does not replace or override an AdaptationSet-level descriptor; instead, both are combined.</w:t>
      </w:r>
    </w:p>
    <w:p w14:paraId="1A31CD46"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Further, an example may be added after the existing concatenation order description:</w:t>
      </w:r>
    </w:p>
    <w:p w14:paraId="039CB513"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r w:rsidRPr="00BE07BA">
        <w:rPr>
          <w:rFonts w:ascii="Times New Roman" w:eastAsia="Times New Roman" w:hAnsi="Times New Roman"/>
          <w:b/>
          <w:bCs/>
          <w:sz w:val="24"/>
          <w:szCs w:val="24"/>
          <w:lang w:val="en-US" w:eastAsia="ja-JP"/>
        </w:rPr>
        <w:t>Example:</w:t>
      </w:r>
      <w:r w:rsidRPr="00BE07BA">
        <w:rPr>
          <w:rFonts w:ascii="Times New Roman" w:eastAsia="Times New Roman" w:hAnsi="Times New Roman"/>
          <w:sz w:val="24"/>
          <w:szCs w:val="24"/>
          <w:lang w:val="en-US" w:eastAsia="ja-JP"/>
        </w:rPr>
        <w:t xml:space="preserve"> If an AdaptationSet contains a SupplementalProperty with @schemeIdUri="urn:mpeg:dash:urlparam:2016" and @value="?param1=A", and a contained Representation has a SupplementalProperty with the same schemeIdUri and @value="&amp;param2=B", the final query string for that Representation will be "?param1=A&amp;param2=B", not just "&amp;param2=B" as would be the case under general inheritance rules.</w:t>
      </w:r>
    </w:p>
    <w:p w14:paraId="2DDB47AF" w14:textId="77777777" w:rsidR="00BE07BA" w:rsidRPr="00BE07BA" w:rsidRDefault="00BE07BA" w:rsidP="00BE07BA">
      <w:pPr>
        <w:pStyle w:val="Heading1"/>
        <w:rPr>
          <w:lang w:val="en-US"/>
        </w:rPr>
      </w:pPr>
      <w:bookmarkStart w:id="27" w:name="_Toc219812948"/>
      <w:bookmarkStart w:id="28" w:name="_Toc228540019"/>
      <w:r w:rsidRPr="00BE07BA">
        <w:rPr>
          <w:lang w:val="en-US"/>
        </w:rPr>
        <w:t>Annex G, MPD Examples and MPD Usage</w:t>
      </w:r>
      <w:bookmarkEnd w:id="27"/>
      <w:bookmarkEnd w:id="28"/>
    </w:p>
    <w:p w14:paraId="5059DDBD" w14:textId="77777777" w:rsidR="00BE07BA" w:rsidRPr="00BE07BA" w:rsidRDefault="00BE07BA" w:rsidP="00BE07BA">
      <w:pPr>
        <w:pStyle w:val="Heading2"/>
        <w:rPr>
          <w:lang w:val="en-US"/>
        </w:rPr>
      </w:pPr>
      <w:r w:rsidRPr="00BE07BA">
        <w:rPr>
          <w:lang w:val="en-US"/>
        </w:rPr>
        <w:t xml:space="preserve"> </w:t>
      </w:r>
      <w:bookmarkStart w:id="29" w:name="_Toc219812949"/>
      <w:bookmarkStart w:id="30" w:name="_Toc228540020"/>
      <w:r w:rsidRPr="00BE07BA">
        <w:rPr>
          <w:lang w:val="en-US"/>
        </w:rPr>
        <w:t>Overall annex G</w:t>
      </w:r>
      <w:bookmarkEnd w:id="29"/>
      <w:bookmarkEnd w:id="30"/>
    </w:p>
    <w:p w14:paraId="229C7B59"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In Annex G: MPD Examples and MPD Usage, replace all instances (8 in total) of</w:t>
      </w:r>
    </w:p>
    <w:p w14:paraId="6834B715" w14:textId="77777777" w:rsidR="00BE07BA" w:rsidRPr="00BE07BA" w:rsidRDefault="00BE07BA" w:rsidP="00BE07BA">
      <w:pPr>
        <w:tabs>
          <w:tab w:val="clear" w:pos="403"/>
        </w:tabs>
        <w:spacing w:after="0" w:line="240" w:lineRule="auto"/>
        <w:jc w:val="left"/>
        <w:rPr>
          <w:rFonts w:ascii="Courier New" w:eastAsia="MS Mincho" w:hAnsi="Courier New" w:cs="Courier New"/>
          <w:b/>
          <w:bCs/>
          <w:sz w:val="16"/>
          <w:szCs w:val="16"/>
        </w:rPr>
      </w:pPr>
      <w:r w:rsidRPr="00BE07BA">
        <w:rPr>
          <w:rFonts w:ascii="Courier New" w:eastAsia="MS Mincho" w:hAnsi="Courier New" w:cs="Courier New"/>
          <w:b/>
          <w:bCs/>
          <w:sz w:val="16"/>
          <w:szCs w:val="16"/>
        </w:rPr>
        <w:t>&lt;AudioChannelConfiguration schemeIdUri="urn:mpeg:dash:23003:3:audio_channel_configuration:2011" value="X" /&gt;</w:t>
      </w:r>
    </w:p>
    <w:p w14:paraId="496091D8"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to</w:t>
      </w:r>
    </w:p>
    <w:p w14:paraId="18C7F6EB" w14:textId="77777777" w:rsidR="00BE07BA" w:rsidRPr="00BE07BA" w:rsidRDefault="00BE07BA" w:rsidP="00BE07BA">
      <w:pPr>
        <w:tabs>
          <w:tab w:val="clear" w:pos="403"/>
        </w:tabs>
        <w:spacing w:after="0" w:line="240" w:lineRule="auto"/>
        <w:jc w:val="left"/>
        <w:rPr>
          <w:rFonts w:ascii="Courier New" w:eastAsia="MS Mincho" w:hAnsi="Courier New" w:cs="Courier New"/>
          <w:b/>
          <w:bCs/>
          <w:sz w:val="16"/>
          <w:szCs w:val="16"/>
        </w:rPr>
      </w:pPr>
      <w:r w:rsidRPr="00BE07BA">
        <w:rPr>
          <w:rFonts w:ascii="Courier New" w:eastAsia="MS Mincho" w:hAnsi="Courier New" w:cs="Courier New"/>
          <w:b/>
          <w:bCs/>
          <w:sz w:val="16"/>
          <w:szCs w:val="16"/>
        </w:rPr>
        <w:t>&lt;AudioChannelConfiguration schemeIdUri="urn:mpeg:mpegB:cicp:ChannelConfiguration" value="X" /&gt;</w:t>
      </w:r>
    </w:p>
    <w:p w14:paraId="4A585AFB"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p>
    <w:p w14:paraId="3AA71F35"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where X represents the existing value (used values in examples include 2 and 6).</w:t>
      </w:r>
    </w:p>
    <w:p w14:paraId="1F68BF90" w14:textId="55F745AA" w:rsidR="0064468E" w:rsidRPr="00BE07BA" w:rsidRDefault="0064468E" w:rsidP="00E64524">
      <w:pPr>
        <w:tabs>
          <w:tab w:val="clear" w:pos="403"/>
          <w:tab w:val="left" w:pos="720"/>
        </w:tabs>
        <w:spacing w:after="0" w:line="240" w:lineRule="auto"/>
        <w:jc w:val="left"/>
        <w:rPr>
          <w:bCs/>
          <w:lang w:val="en-US" w:eastAsia="zh-CN"/>
        </w:rPr>
      </w:pPr>
    </w:p>
    <w:sectPr w:rsidR="0064468E" w:rsidRPr="00BE07BA" w:rsidSect="00CF1A65">
      <w:footerReference w:type="even" r:id="rId19"/>
      <w:footerReference w:type="default" r:id="rId2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6CC6" w14:textId="77777777" w:rsidR="002F5AD6" w:rsidRDefault="002F5AD6">
      <w:pPr>
        <w:spacing w:after="0" w:line="240" w:lineRule="auto"/>
      </w:pPr>
      <w:r>
        <w:separator/>
      </w:r>
    </w:p>
  </w:endnote>
  <w:endnote w:type="continuationSeparator" w:id="0">
    <w:p w14:paraId="124F0667" w14:textId="77777777" w:rsidR="002F5AD6" w:rsidRDefault="002F5AD6">
      <w:pPr>
        <w:spacing w:after="0" w:line="240" w:lineRule="auto"/>
      </w:pPr>
      <w:r>
        <w:continuationSeparator/>
      </w:r>
    </w:p>
  </w:endnote>
  <w:endnote w:type="continuationNotice" w:id="1">
    <w:p w14:paraId="55C48925" w14:textId="77777777" w:rsidR="002F5AD6" w:rsidRDefault="002F5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F7697"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EF9D"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10CF"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705F"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275BD0C5"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4E258" w14:textId="77777777" w:rsidR="002F5AD6" w:rsidRDefault="002F5AD6">
      <w:pPr>
        <w:spacing w:after="0" w:line="240" w:lineRule="auto"/>
      </w:pPr>
      <w:r>
        <w:separator/>
      </w:r>
    </w:p>
  </w:footnote>
  <w:footnote w:type="continuationSeparator" w:id="0">
    <w:p w14:paraId="2C72A8F1" w14:textId="77777777" w:rsidR="002F5AD6" w:rsidRDefault="002F5AD6">
      <w:pPr>
        <w:spacing w:after="0" w:line="240" w:lineRule="auto"/>
      </w:pPr>
      <w:r>
        <w:continuationSeparator/>
      </w:r>
    </w:p>
  </w:footnote>
  <w:footnote w:type="continuationNotice" w:id="1">
    <w:p w14:paraId="2313A2B8" w14:textId="77777777" w:rsidR="002F5AD6" w:rsidRDefault="002F5AD6">
      <w:pPr>
        <w:spacing w:after="0" w:line="240" w:lineRule="auto"/>
      </w:pPr>
    </w:p>
  </w:footnote>
  <w:footnote w:id="2">
    <w:p w14:paraId="2C0ADE98" w14:textId="77777777" w:rsidR="00EB67C2" w:rsidRDefault="00EB67C2" w:rsidP="00EB67C2">
      <w:pPr>
        <w:pStyle w:val="FootnoteText"/>
      </w:pPr>
      <w:r>
        <w:rPr>
          <w:rStyle w:val="FootnoteReference"/>
        </w:rPr>
        <w:footnoteRef/>
      </w:r>
      <w:r>
        <w:t xml:space="preserve"> The decision where to place the proposed text may depend on whether the new provisions amend the existing profiles in clauses 8.12.5 and 8.12.6, or whether the mapping is considered supplementary to, but not included in these profiles.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28E1B" w14:textId="77777777" w:rsidR="004421EF" w:rsidRPr="00151316" w:rsidRDefault="004421EF" w:rsidP="004421EF">
    <w:pPr>
      <w:pStyle w:val="Header"/>
      <w:spacing w:line="240" w:lineRule="exact"/>
      <w:jc w:val="left"/>
    </w:pPr>
    <w:r w:rsidRPr="00151316">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73B25"/>
    <w:multiLevelType w:val="hybridMultilevel"/>
    <w:tmpl w:val="82321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A55008"/>
    <w:multiLevelType w:val="multilevel"/>
    <w:tmpl w:val="B6CA199C"/>
    <w:lvl w:ilvl="0">
      <w:start w:val="12"/>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2" w15:restartNumberingAfterBreak="0">
    <w:nsid w:val="0B671B56"/>
    <w:multiLevelType w:val="hybridMultilevel"/>
    <w:tmpl w:val="97C26D88"/>
    <w:lvl w:ilvl="0" w:tplc="91C497AE">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184E4B"/>
    <w:multiLevelType w:val="hybridMultilevel"/>
    <w:tmpl w:val="C9729A48"/>
    <w:lvl w:ilvl="0" w:tplc="BC36DA24">
      <w:start w:val="36"/>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30A221A"/>
    <w:multiLevelType w:val="hybridMultilevel"/>
    <w:tmpl w:val="F3D25498"/>
    <w:lvl w:ilvl="0" w:tplc="2E500F36">
      <w:start w:val="1"/>
      <w:numFmt w:val="bullet"/>
      <w:lvlText w:val="-"/>
      <w:lvlJc w:val="left"/>
      <w:pPr>
        <w:ind w:left="720" w:hanging="360"/>
      </w:pPr>
      <w:rPr>
        <w:rFonts w:ascii="Cambria" w:eastAsia="Calibri" w:hAnsi="Cambri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B07C6"/>
    <w:multiLevelType w:val="hybridMultilevel"/>
    <w:tmpl w:val="74601CBC"/>
    <w:lvl w:ilvl="0" w:tplc="638A0AE0">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99A3517"/>
    <w:multiLevelType w:val="hybridMultilevel"/>
    <w:tmpl w:val="EE3AD5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B78C056">
      <w:start w:val="3"/>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B058CF"/>
    <w:multiLevelType w:val="hybridMultilevel"/>
    <w:tmpl w:val="49108062"/>
    <w:lvl w:ilvl="0" w:tplc="5ADC09CC">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16858"/>
    <w:multiLevelType w:val="multilevel"/>
    <w:tmpl w:val="9F2E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317A04"/>
    <w:multiLevelType w:val="hybridMultilevel"/>
    <w:tmpl w:val="4F2CAF9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62163B"/>
    <w:multiLevelType w:val="hybridMultilevel"/>
    <w:tmpl w:val="51C68D2A"/>
    <w:lvl w:ilvl="0" w:tplc="120EE68E">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6" w15:restartNumberingAfterBreak="0">
    <w:nsid w:val="3C6E7FDB"/>
    <w:multiLevelType w:val="hybridMultilevel"/>
    <w:tmpl w:val="94B21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AA11E8"/>
    <w:multiLevelType w:val="multilevel"/>
    <w:tmpl w:val="32926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B358BC"/>
    <w:multiLevelType w:val="hybridMultilevel"/>
    <w:tmpl w:val="4BCE842A"/>
    <w:lvl w:ilvl="0" w:tplc="FFFFFFFF">
      <w:numFmt w:val="bullet"/>
      <w:lvlText w:val="—"/>
      <w:lvlJc w:val="left"/>
      <w:pPr>
        <w:ind w:left="720" w:hanging="360"/>
      </w:pPr>
      <w:rPr>
        <w:rFonts w:ascii="Cambria" w:hAnsi="Cambria" w:cs="Cambria"/>
      </w:rPr>
    </w:lvl>
    <w:lvl w:ilvl="1" w:tplc="3146ADF8">
      <w:numFmt w:val="bullet"/>
      <w:lvlText w:val="—"/>
      <w:lvlJc w:val="left"/>
      <w:pPr>
        <w:ind w:left="1440" w:hanging="360"/>
      </w:pPr>
      <w:rPr>
        <w:rFonts w:ascii="Cambria" w:hAnsi="Cambria" w:cs="Cambria"/>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0F01F8"/>
    <w:multiLevelType w:val="multilevel"/>
    <w:tmpl w:val="46964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97136E"/>
    <w:multiLevelType w:val="hybridMultilevel"/>
    <w:tmpl w:val="15A826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A62EAD"/>
    <w:multiLevelType w:val="multilevel"/>
    <w:tmpl w:val="ADA88C9E"/>
    <w:lvl w:ilvl="0">
      <w:start w:val="5"/>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AD367D"/>
    <w:multiLevelType w:val="multilevel"/>
    <w:tmpl w:val="FFD09314"/>
    <w:styleLink w:val="CurrentList4"/>
    <w:lvl w:ilvl="0">
      <w:start w:val="6"/>
      <w:numFmt w:val="decimal"/>
      <w:lvlText w:val="%1"/>
      <w:lvlJc w:val="left"/>
      <w:pPr>
        <w:tabs>
          <w:tab w:val="num" w:pos="432"/>
        </w:tabs>
        <w:ind w:left="432" w:hanging="432"/>
      </w:pPr>
      <w:rPr>
        <w:rFonts w:cs="Times New Roman" w:hint="default"/>
        <w:b/>
        <w:i w:val="0"/>
      </w:rPr>
    </w:lvl>
    <w:lvl w:ilvl="1">
      <w:start w:val="5"/>
      <w:numFmt w:val="decimal"/>
      <w:lvlText w:val="%1.%2"/>
      <w:lvlJc w:val="left"/>
      <w:pPr>
        <w:ind w:left="0" w:firstLine="0"/>
      </w:pPr>
      <w:rPr>
        <w:rFonts w:cs="Times New Roman" w:hint="default"/>
        <w:b/>
        <w:i w:val="0"/>
      </w:rPr>
    </w:lvl>
    <w:lvl w:ilvl="2">
      <w:start w:val="38"/>
      <w:numFmt w:val="decimal"/>
      <w:lvlText w:val="%1.%2.%3"/>
      <w:lvlJc w:val="left"/>
      <w:pPr>
        <w:tabs>
          <w:tab w:val="num" w:pos="720"/>
        </w:tabs>
        <w:ind w:left="0" w:firstLine="0"/>
      </w:pPr>
      <w:rPr>
        <w:rFonts w:cs="Times New Roman" w:hint="default"/>
        <w:b/>
        <w:i w:val="0"/>
      </w:rPr>
    </w:lvl>
    <w:lvl w:ilvl="3">
      <w:start w:val="1"/>
      <w:numFmt w:val="decimal"/>
      <w:lvlText w:val="%1.%2.%3.%4"/>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Text w:val="%1.%2.%3.%4.%5.%6.%7"/>
      <w:lvlJc w:val="left"/>
      <w:pPr>
        <w:tabs>
          <w:tab w:val="num" w:pos="1440"/>
        </w:tabs>
        <w:ind w:left="0" w:firstLine="0"/>
      </w:pPr>
      <w:rPr>
        <w:rFonts w:cs="Times New Roman" w:hint="default"/>
      </w:rPr>
    </w:lvl>
    <w:lvl w:ilvl="7">
      <w:start w:val="1"/>
      <w:numFmt w:val="decimal"/>
      <w:lvlText w:val="%1.%2.%3.%4.%5.%6.%7.%8"/>
      <w:lvlJc w:val="left"/>
      <w:pPr>
        <w:tabs>
          <w:tab w:val="num" w:pos="1800"/>
        </w:tabs>
        <w:ind w:left="0" w:firstLine="0"/>
      </w:pPr>
      <w:rPr>
        <w:rFonts w:cs="Times New Roman" w:hint="default"/>
      </w:rPr>
    </w:lvl>
    <w:lvl w:ilvl="8">
      <w:start w:val="1"/>
      <w:numFmt w:val="decimal"/>
      <w:lvlText w:val="%1.%2.%3.%4.%5.%6.%7.%8.%9"/>
      <w:lvlJc w:val="left"/>
      <w:pPr>
        <w:tabs>
          <w:tab w:val="num" w:pos="1800"/>
        </w:tabs>
        <w:ind w:left="0" w:firstLine="0"/>
      </w:pPr>
      <w:rPr>
        <w:rFonts w:cs="Times New Roman" w:hint="default"/>
      </w:rPr>
    </w:lvl>
  </w:abstractNum>
  <w:abstractNum w:abstractNumId="35" w15:restartNumberingAfterBreak="0">
    <w:nsid w:val="4E014FCA"/>
    <w:multiLevelType w:val="hybridMultilevel"/>
    <w:tmpl w:val="6D4C697C"/>
    <w:lvl w:ilvl="0" w:tplc="3146ADF8">
      <w:numFmt w:val="bullet"/>
      <w:lvlText w:val="—"/>
      <w:lvlJc w:val="left"/>
      <w:pPr>
        <w:ind w:left="720" w:hanging="360"/>
      </w:pPr>
      <w:rPr>
        <w:rFonts w:ascii="Cambria" w:hAnsi="Cambria" w:cs="Cambr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4F493D"/>
    <w:multiLevelType w:val="hybridMultilevel"/>
    <w:tmpl w:val="31BEB7DE"/>
    <w:lvl w:ilvl="0" w:tplc="C0727C04">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4F4EF8"/>
    <w:multiLevelType w:val="hybridMultilevel"/>
    <w:tmpl w:val="85B84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A41E6"/>
    <w:multiLevelType w:val="hybridMultilevel"/>
    <w:tmpl w:val="C2EC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E0A6E"/>
    <w:multiLevelType w:val="hybridMultilevel"/>
    <w:tmpl w:val="9F062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57B5C"/>
    <w:multiLevelType w:val="hybridMultilevel"/>
    <w:tmpl w:val="7CF43754"/>
    <w:lvl w:ilvl="0" w:tplc="117C309E">
      <w:start w:val="5"/>
      <w:numFmt w:val="bullet"/>
      <w:lvlText w:val="-"/>
      <w:lvlJc w:val="left"/>
      <w:pPr>
        <w:ind w:left="720" w:hanging="360"/>
      </w:pPr>
      <w:rPr>
        <w:rFonts w:ascii="Cambria" w:eastAsia="SimSun" w:hAnsi="Cambria" w:cs="Cambri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624858">
    <w:abstractNumId w:val="25"/>
  </w:num>
  <w:num w:numId="2" w16cid:durableId="27414313">
    <w:abstractNumId w:val="25"/>
  </w:num>
  <w:num w:numId="3" w16cid:durableId="221412291">
    <w:abstractNumId w:val="25"/>
  </w:num>
  <w:num w:numId="4" w16cid:durableId="43451774">
    <w:abstractNumId w:val="25"/>
  </w:num>
  <w:num w:numId="5" w16cid:durableId="1836452537">
    <w:abstractNumId w:val="25"/>
  </w:num>
  <w:num w:numId="6" w16cid:durableId="1505783742">
    <w:abstractNumId w:val="25"/>
  </w:num>
  <w:num w:numId="7" w16cid:durableId="2000962125">
    <w:abstractNumId w:val="11"/>
  </w:num>
  <w:num w:numId="8" w16cid:durableId="1130394350">
    <w:abstractNumId w:val="11"/>
  </w:num>
  <w:num w:numId="9" w16cid:durableId="1587810155">
    <w:abstractNumId w:val="11"/>
  </w:num>
  <w:num w:numId="10" w16cid:durableId="1941639178">
    <w:abstractNumId w:val="11"/>
  </w:num>
  <w:num w:numId="11" w16cid:durableId="1337732204">
    <w:abstractNumId w:val="11"/>
  </w:num>
  <w:num w:numId="12" w16cid:durableId="2047557079">
    <w:abstractNumId w:val="11"/>
  </w:num>
  <w:num w:numId="13" w16cid:durableId="163055144">
    <w:abstractNumId w:val="27"/>
  </w:num>
  <w:num w:numId="14" w16cid:durableId="1891526991">
    <w:abstractNumId w:val="21"/>
  </w:num>
  <w:num w:numId="15" w16cid:durableId="1951400887">
    <w:abstractNumId w:val="22"/>
  </w:num>
  <w:num w:numId="16" w16cid:durableId="770204954">
    <w:abstractNumId w:val="38"/>
  </w:num>
  <w:num w:numId="17" w16cid:durableId="381443620">
    <w:abstractNumId w:val="42"/>
  </w:num>
  <w:num w:numId="18" w16cid:durableId="2146123991">
    <w:abstractNumId w:val="16"/>
  </w:num>
  <w:num w:numId="19" w16cid:durableId="294066680">
    <w:abstractNumId w:val="15"/>
  </w:num>
  <w:num w:numId="20" w16cid:durableId="642006891">
    <w:abstractNumId w:val="30"/>
  </w:num>
  <w:num w:numId="21" w16cid:durableId="32506567">
    <w:abstractNumId w:val="9"/>
  </w:num>
  <w:num w:numId="22" w16cid:durableId="55861145">
    <w:abstractNumId w:val="7"/>
  </w:num>
  <w:num w:numId="23" w16cid:durableId="1038310266">
    <w:abstractNumId w:val="6"/>
  </w:num>
  <w:num w:numId="24" w16cid:durableId="261911590">
    <w:abstractNumId w:val="5"/>
  </w:num>
  <w:num w:numId="25" w16cid:durableId="1549684219">
    <w:abstractNumId w:val="4"/>
  </w:num>
  <w:num w:numId="26" w16cid:durableId="2008055030">
    <w:abstractNumId w:val="8"/>
  </w:num>
  <w:num w:numId="27" w16cid:durableId="821888196">
    <w:abstractNumId w:val="3"/>
  </w:num>
  <w:num w:numId="28" w16cid:durableId="1229342427">
    <w:abstractNumId w:val="2"/>
  </w:num>
  <w:num w:numId="29" w16cid:durableId="1788428222">
    <w:abstractNumId w:val="1"/>
  </w:num>
  <w:num w:numId="30" w16cid:durableId="1781946018">
    <w:abstractNumId w:val="0"/>
  </w:num>
  <w:num w:numId="31" w16cid:durableId="203640084">
    <w:abstractNumId w:val="40"/>
  </w:num>
  <w:num w:numId="32" w16cid:durableId="1208645635">
    <w:abstractNumId w:val="39"/>
  </w:num>
  <w:num w:numId="33" w16cid:durableId="991251437">
    <w:abstractNumId w:val="37"/>
  </w:num>
  <w:num w:numId="34" w16cid:durableId="1042705300">
    <w:abstractNumId w:val="25"/>
  </w:num>
  <w:num w:numId="35" w16cid:durableId="819351409">
    <w:abstractNumId w:val="14"/>
  </w:num>
  <w:num w:numId="36" w16cid:durableId="351876555">
    <w:abstractNumId w:val="25"/>
  </w:num>
  <w:num w:numId="37" w16cid:durableId="936598094">
    <w:abstractNumId w:val="25"/>
  </w:num>
  <w:num w:numId="38" w16cid:durableId="315381219">
    <w:abstractNumId w:val="25"/>
  </w:num>
  <w:num w:numId="39" w16cid:durableId="566498713">
    <w:abstractNumId w:val="32"/>
  </w:num>
  <w:num w:numId="40" w16cid:durableId="1209219865">
    <w:abstractNumId w:val="25"/>
  </w:num>
  <w:num w:numId="41" w16cid:durableId="945960200">
    <w:abstractNumId w:val="25"/>
  </w:num>
  <w:num w:numId="42" w16cid:durableId="1358850163">
    <w:abstractNumId w:val="28"/>
  </w:num>
  <w:num w:numId="43" w16cid:durableId="682173445">
    <w:abstractNumId w:val="20"/>
  </w:num>
  <w:num w:numId="44" w16cid:durableId="1659534839">
    <w:abstractNumId w:val="31"/>
  </w:num>
  <w:num w:numId="45" w16cid:durableId="1372026008">
    <w:abstractNumId w:val="17"/>
  </w:num>
  <w:num w:numId="46" w16cid:durableId="217017083">
    <w:abstractNumId w:val="36"/>
  </w:num>
  <w:num w:numId="47" w16cid:durableId="1457526725">
    <w:abstractNumId w:val="18"/>
  </w:num>
  <w:num w:numId="48" w16cid:durableId="1050962383">
    <w:abstractNumId w:val="24"/>
  </w:num>
  <w:num w:numId="49" w16cid:durableId="1805460286">
    <w:abstractNumId w:val="12"/>
  </w:num>
  <w:num w:numId="50" w16cid:durableId="675570932">
    <w:abstractNumId w:val="23"/>
  </w:num>
  <w:num w:numId="51" w16cid:durableId="176818622">
    <w:abstractNumId w:val="10"/>
  </w:num>
  <w:num w:numId="52" w16cid:durableId="1362972649">
    <w:abstractNumId w:val="34"/>
  </w:num>
  <w:num w:numId="53" w16cid:durableId="1840730998">
    <w:abstractNumId w:val="33"/>
  </w:num>
  <w:num w:numId="54" w16cid:durableId="1342077237">
    <w:abstractNumId w:val="19"/>
  </w:num>
  <w:num w:numId="55" w16cid:durableId="1387222502">
    <w:abstractNumId w:val="13"/>
  </w:num>
  <w:num w:numId="56" w16cid:durableId="452329595">
    <w:abstractNumId w:val="41"/>
  </w:num>
  <w:num w:numId="57" w16cid:durableId="1917550253">
    <w:abstractNumId w:val="26"/>
  </w:num>
  <w:num w:numId="58" w16cid:durableId="890658329">
    <w:abstractNumId w:val="35"/>
  </w:num>
  <w:num w:numId="59" w16cid:durableId="182585420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2E1"/>
    <w:rsid w:val="0000098D"/>
    <w:rsid w:val="00003A9B"/>
    <w:rsid w:val="00007E6E"/>
    <w:rsid w:val="00010AE0"/>
    <w:rsid w:val="000110C4"/>
    <w:rsid w:val="00012ADD"/>
    <w:rsid w:val="00023DA6"/>
    <w:rsid w:val="00025F53"/>
    <w:rsid w:val="00026D08"/>
    <w:rsid w:val="00027609"/>
    <w:rsid w:val="00037FC3"/>
    <w:rsid w:val="0004257F"/>
    <w:rsid w:val="00046CB1"/>
    <w:rsid w:val="000518A1"/>
    <w:rsid w:val="00052262"/>
    <w:rsid w:val="00052CFC"/>
    <w:rsid w:val="000535DA"/>
    <w:rsid w:val="00055455"/>
    <w:rsid w:val="00060093"/>
    <w:rsid w:val="00060DBF"/>
    <w:rsid w:val="00061945"/>
    <w:rsid w:val="000626EE"/>
    <w:rsid w:val="00062839"/>
    <w:rsid w:val="00064752"/>
    <w:rsid w:val="00066B9A"/>
    <w:rsid w:val="00071922"/>
    <w:rsid w:val="00072D10"/>
    <w:rsid w:val="00074623"/>
    <w:rsid w:val="00076657"/>
    <w:rsid w:val="00083D42"/>
    <w:rsid w:val="00092A9A"/>
    <w:rsid w:val="00092A9C"/>
    <w:rsid w:val="000933DE"/>
    <w:rsid w:val="00094495"/>
    <w:rsid w:val="00095E85"/>
    <w:rsid w:val="00096387"/>
    <w:rsid w:val="000A0100"/>
    <w:rsid w:val="000A31E5"/>
    <w:rsid w:val="000A525F"/>
    <w:rsid w:val="000A535B"/>
    <w:rsid w:val="000A5495"/>
    <w:rsid w:val="000B2BF4"/>
    <w:rsid w:val="000B2EDC"/>
    <w:rsid w:val="000B6D55"/>
    <w:rsid w:val="000C033F"/>
    <w:rsid w:val="000C1CE3"/>
    <w:rsid w:val="000D278C"/>
    <w:rsid w:val="000D2826"/>
    <w:rsid w:val="000D4E16"/>
    <w:rsid w:val="000D50AE"/>
    <w:rsid w:val="000D5E3A"/>
    <w:rsid w:val="000D77DF"/>
    <w:rsid w:val="000F0DB6"/>
    <w:rsid w:val="000F0E7A"/>
    <w:rsid w:val="000F3E45"/>
    <w:rsid w:val="000F6D19"/>
    <w:rsid w:val="000F7601"/>
    <w:rsid w:val="00105C38"/>
    <w:rsid w:val="001074E9"/>
    <w:rsid w:val="00107FFE"/>
    <w:rsid w:val="00110E19"/>
    <w:rsid w:val="00117989"/>
    <w:rsid w:val="001221F0"/>
    <w:rsid w:val="00125C4F"/>
    <w:rsid w:val="001424CE"/>
    <w:rsid w:val="0014364D"/>
    <w:rsid w:val="00143E71"/>
    <w:rsid w:val="00147C95"/>
    <w:rsid w:val="00150ADF"/>
    <w:rsid w:val="00151B6D"/>
    <w:rsid w:val="0015226D"/>
    <w:rsid w:val="00162783"/>
    <w:rsid w:val="001635B2"/>
    <w:rsid w:val="00165976"/>
    <w:rsid w:val="00170051"/>
    <w:rsid w:val="00192036"/>
    <w:rsid w:val="00197A43"/>
    <w:rsid w:val="001A0089"/>
    <w:rsid w:val="001A0B0F"/>
    <w:rsid w:val="001A2094"/>
    <w:rsid w:val="001A339A"/>
    <w:rsid w:val="001A33D0"/>
    <w:rsid w:val="001A6FE7"/>
    <w:rsid w:val="001B0F4C"/>
    <w:rsid w:val="001B3765"/>
    <w:rsid w:val="001B51CD"/>
    <w:rsid w:val="001C0495"/>
    <w:rsid w:val="001C12A7"/>
    <w:rsid w:val="001C4C93"/>
    <w:rsid w:val="001C6575"/>
    <w:rsid w:val="001D1E9B"/>
    <w:rsid w:val="001D2208"/>
    <w:rsid w:val="001D6648"/>
    <w:rsid w:val="001E040F"/>
    <w:rsid w:val="00200F62"/>
    <w:rsid w:val="00201C13"/>
    <w:rsid w:val="00202363"/>
    <w:rsid w:val="00204C90"/>
    <w:rsid w:val="00210811"/>
    <w:rsid w:val="0023705A"/>
    <w:rsid w:val="00237F8B"/>
    <w:rsid w:val="00240D1B"/>
    <w:rsid w:val="00243BE9"/>
    <w:rsid w:val="00244102"/>
    <w:rsid w:val="002450A5"/>
    <w:rsid w:val="00245C8F"/>
    <w:rsid w:val="00245DF6"/>
    <w:rsid w:val="00245DFE"/>
    <w:rsid w:val="00253903"/>
    <w:rsid w:val="002541F9"/>
    <w:rsid w:val="00255FAC"/>
    <w:rsid w:val="00261CB6"/>
    <w:rsid w:val="002620B5"/>
    <w:rsid w:val="00264095"/>
    <w:rsid w:val="00264FA5"/>
    <w:rsid w:val="00266ADF"/>
    <w:rsid w:val="00266D57"/>
    <w:rsid w:val="0027517B"/>
    <w:rsid w:val="002812EB"/>
    <w:rsid w:val="002813DC"/>
    <w:rsid w:val="00286413"/>
    <w:rsid w:val="00286EF7"/>
    <w:rsid w:val="00287956"/>
    <w:rsid w:val="002919B2"/>
    <w:rsid w:val="00292247"/>
    <w:rsid w:val="00293CC1"/>
    <w:rsid w:val="0029452D"/>
    <w:rsid w:val="00294FB0"/>
    <w:rsid w:val="00295A93"/>
    <w:rsid w:val="002960F2"/>
    <w:rsid w:val="002A37FE"/>
    <w:rsid w:val="002A694E"/>
    <w:rsid w:val="002B12BB"/>
    <w:rsid w:val="002B2BB4"/>
    <w:rsid w:val="002B7B73"/>
    <w:rsid w:val="002C2D89"/>
    <w:rsid w:val="002C453D"/>
    <w:rsid w:val="002C4667"/>
    <w:rsid w:val="002C5C57"/>
    <w:rsid w:val="002D1B30"/>
    <w:rsid w:val="002E0796"/>
    <w:rsid w:val="002E0ED3"/>
    <w:rsid w:val="002F07F2"/>
    <w:rsid w:val="002F45DD"/>
    <w:rsid w:val="002F5AD6"/>
    <w:rsid w:val="002F60D6"/>
    <w:rsid w:val="003023BB"/>
    <w:rsid w:val="003048E8"/>
    <w:rsid w:val="00306D0D"/>
    <w:rsid w:val="003110FB"/>
    <w:rsid w:val="00313173"/>
    <w:rsid w:val="00313A92"/>
    <w:rsid w:val="00314414"/>
    <w:rsid w:val="0032028D"/>
    <w:rsid w:val="003259B9"/>
    <w:rsid w:val="003262BB"/>
    <w:rsid w:val="00333718"/>
    <w:rsid w:val="00335180"/>
    <w:rsid w:val="003376D3"/>
    <w:rsid w:val="00340243"/>
    <w:rsid w:val="003421A3"/>
    <w:rsid w:val="00345A27"/>
    <w:rsid w:val="00346323"/>
    <w:rsid w:val="003504AE"/>
    <w:rsid w:val="00350A45"/>
    <w:rsid w:val="00350EAE"/>
    <w:rsid w:val="003606BF"/>
    <w:rsid w:val="003621EE"/>
    <w:rsid w:val="003634BB"/>
    <w:rsid w:val="00367199"/>
    <w:rsid w:val="00375D67"/>
    <w:rsid w:val="00381B28"/>
    <w:rsid w:val="00395E39"/>
    <w:rsid w:val="00396685"/>
    <w:rsid w:val="00397B9B"/>
    <w:rsid w:val="003A00A7"/>
    <w:rsid w:val="003A2747"/>
    <w:rsid w:val="003A4518"/>
    <w:rsid w:val="003A5DA4"/>
    <w:rsid w:val="003A6145"/>
    <w:rsid w:val="003A7D25"/>
    <w:rsid w:val="003B153F"/>
    <w:rsid w:val="003C3383"/>
    <w:rsid w:val="003D0258"/>
    <w:rsid w:val="003D12DB"/>
    <w:rsid w:val="003D1761"/>
    <w:rsid w:val="003E134B"/>
    <w:rsid w:val="003E18DF"/>
    <w:rsid w:val="003E6263"/>
    <w:rsid w:val="003E76A3"/>
    <w:rsid w:val="003F1BAB"/>
    <w:rsid w:val="003F2FB0"/>
    <w:rsid w:val="003F4717"/>
    <w:rsid w:val="003F67FA"/>
    <w:rsid w:val="003F7229"/>
    <w:rsid w:val="00400F60"/>
    <w:rsid w:val="00404DBD"/>
    <w:rsid w:val="00407A30"/>
    <w:rsid w:val="00407BAF"/>
    <w:rsid w:val="00411041"/>
    <w:rsid w:val="00416C37"/>
    <w:rsid w:val="00420A67"/>
    <w:rsid w:val="00423623"/>
    <w:rsid w:val="00424495"/>
    <w:rsid w:val="00425789"/>
    <w:rsid w:val="00426C8C"/>
    <w:rsid w:val="0042725A"/>
    <w:rsid w:val="00430E8C"/>
    <w:rsid w:val="004417F0"/>
    <w:rsid w:val="004421EF"/>
    <w:rsid w:val="00451D99"/>
    <w:rsid w:val="00453CC6"/>
    <w:rsid w:val="00460D78"/>
    <w:rsid w:val="0046171F"/>
    <w:rsid w:val="0046557C"/>
    <w:rsid w:val="00470563"/>
    <w:rsid w:val="004729FF"/>
    <w:rsid w:val="0047651C"/>
    <w:rsid w:val="004809F5"/>
    <w:rsid w:val="00481387"/>
    <w:rsid w:val="0048253C"/>
    <w:rsid w:val="004843DA"/>
    <w:rsid w:val="00484518"/>
    <w:rsid w:val="00490CBC"/>
    <w:rsid w:val="00493BF2"/>
    <w:rsid w:val="00494DC9"/>
    <w:rsid w:val="004A06B1"/>
    <w:rsid w:val="004A1AB2"/>
    <w:rsid w:val="004A63D9"/>
    <w:rsid w:val="004B049A"/>
    <w:rsid w:val="004B3CFE"/>
    <w:rsid w:val="004B7A33"/>
    <w:rsid w:val="004C196A"/>
    <w:rsid w:val="004C1D28"/>
    <w:rsid w:val="004C241D"/>
    <w:rsid w:val="004C457E"/>
    <w:rsid w:val="004D11EB"/>
    <w:rsid w:val="004D16C0"/>
    <w:rsid w:val="004D294A"/>
    <w:rsid w:val="004D2D30"/>
    <w:rsid w:val="004D3DEB"/>
    <w:rsid w:val="004D58D1"/>
    <w:rsid w:val="004E26EB"/>
    <w:rsid w:val="004E3343"/>
    <w:rsid w:val="004E6E8E"/>
    <w:rsid w:val="004F1D5B"/>
    <w:rsid w:val="004F4C04"/>
    <w:rsid w:val="004F62BE"/>
    <w:rsid w:val="004F6DAD"/>
    <w:rsid w:val="00501E43"/>
    <w:rsid w:val="00501F28"/>
    <w:rsid w:val="00503DEC"/>
    <w:rsid w:val="0050772A"/>
    <w:rsid w:val="00507F0D"/>
    <w:rsid w:val="00511270"/>
    <w:rsid w:val="00514777"/>
    <w:rsid w:val="005231B3"/>
    <w:rsid w:val="005232DF"/>
    <w:rsid w:val="00523323"/>
    <w:rsid w:val="00525A3B"/>
    <w:rsid w:val="00526284"/>
    <w:rsid w:val="005268EA"/>
    <w:rsid w:val="005300D1"/>
    <w:rsid w:val="00530839"/>
    <w:rsid w:val="00531A26"/>
    <w:rsid w:val="0053688F"/>
    <w:rsid w:val="005454EF"/>
    <w:rsid w:val="00546A78"/>
    <w:rsid w:val="0054733A"/>
    <w:rsid w:val="00565C2E"/>
    <w:rsid w:val="00566700"/>
    <w:rsid w:val="005766CE"/>
    <w:rsid w:val="0058621D"/>
    <w:rsid w:val="00596E93"/>
    <w:rsid w:val="00597D7E"/>
    <w:rsid w:val="005A5C5C"/>
    <w:rsid w:val="005A60D1"/>
    <w:rsid w:val="005B0A1B"/>
    <w:rsid w:val="005B3012"/>
    <w:rsid w:val="005B3B84"/>
    <w:rsid w:val="005B3C18"/>
    <w:rsid w:val="005B3EC6"/>
    <w:rsid w:val="005C1CC2"/>
    <w:rsid w:val="005C2426"/>
    <w:rsid w:val="005C3339"/>
    <w:rsid w:val="005C3646"/>
    <w:rsid w:val="005D3C3E"/>
    <w:rsid w:val="005D6017"/>
    <w:rsid w:val="005D62C8"/>
    <w:rsid w:val="005F3B2B"/>
    <w:rsid w:val="005F4FA3"/>
    <w:rsid w:val="00600CFD"/>
    <w:rsid w:val="006019E4"/>
    <w:rsid w:val="00610D56"/>
    <w:rsid w:val="00611F0B"/>
    <w:rsid w:val="0061504F"/>
    <w:rsid w:val="006328AB"/>
    <w:rsid w:val="006349B2"/>
    <w:rsid w:val="00637DC3"/>
    <w:rsid w:val="00642336"/>
    <w:rsid w:val="00644060"/>
    <w:rsid w:val="0064468E"/>
    <w:rsid w:val="00647D1B"/>
    <w:rsid w:val="0065178A"/>
    <w:rsid w:val="00651A28"/>
    <w:rsid w:val="00652F34"/>
    <w:rsid w:val="00654E48"/>
    <w:rsid w:val="00662FAC"/>
    <w:rsid w:val="0066795B"/>
    <w:rsid w:val="0067223A"/>
    <w:rsid w:val="00673172"/>
    <w:rsid w:val="00675DB0"/>
    <w:rsid w:val="00676BE8"/>
    <w:rsid w:val="0067705F"/>
    <w:rsid w:val="0068101F"/>
    <w:rsid w:val="006815A4"/>
    <w:rsid w:val="00683B13"/>
    <w:rsid w:val="006861B8"/>
    <w:rsid w:val="00692383"/>
    <w:rsid w:val="00692D71"/>
    <w:rsid w:val="006962DE"/>
    <w:rsid w:val="0069784E"/>
    <w:rsid w:val="006B1C44"/>
    <w:rsid w:val="006B21C7"/>
    <w:rsid w:val="006C48BF"/>
    <w:rsid w:val="006D2C59"/>
    <w:rsid w:val="006D3D76"/>
    <w:rsid w:val="006D568F"/>
    <w:rsid w:val="006E236B"/>
    <w:rsid w:val="006E2E25"/>
    <w:rsid w:val="006E6F62"/>
    <w:rsid w:val="006F1596"/>
    <w:rsid w:val="006F1B52"/>
    <w:rsid w:val="006F413D"/>
    <w:rsid w:val="006F7887"/>
    <w:rsid w:val="007047B3"/>
    <w:rsid w:val="00715379"/>
    <w:rsid w:val="00715657"/>
    <w:rsid w:val="00720827"/>
    <w:rsid w:val="00725A83"/>
    <w:rsid w:val="007304FA"/>
    <w:rsid w:val="0073389D"/>
    <w:rsid w:val="0073497B"/>
    <w:rsid w:val="007359FA"/>
    <w:rsid w:val="00736962"/>
    <w:rsid w:val="00740D40"/>
    <w:rsid w:val="0074128D"/>
    <w:rsid w:val="00747EC7"/>
    <w:rsid w:val="00750FE6"/>
    <w:rsid w:val="007510D7"/>
    <w:rsid w:val="00751770"/>
    <w:rsid w:val="00751C70"/>
    <w:rsid w:val="00762AED"/>
    <w:rsid w:val="00765433"/>
    <w:rsid w:val="00765664"/>
    <w:rsid w:val="00770E9C"/>
    <w:rsid w:val="00777238"/>
    <w:rsid w:val="0077747B"/>
    <w:rsid w:val="007812F0"/>
    <w:rsid w:val="007877C3"/>
    <w:rsid w:val="00792D7A"/>
    <w:rsid w:val="0079516D"/>
    <w:rsid w:val="00797B56"/>
    <w:rsid w:val="007A30B4"/>
    <w:rsid w:val="007A66BA"/>
    <w:rsid w:val="007A6B22"/>
    <w:rsid w:val="007B0790"/>
    <w:rsid w:val="007B178D"/>
    <w:rsid w:val="007B5DAA"/>
    <w:rsid w:val="007B692E"/>
    <w:rsid w:val="007C16D2"/>
    <w:rsid w:val="007C1FF5"/>
    <w:rsid w:val="007C2FAB"/>
    <w:rsid w:val="007C6648"/>
    <w:rsid w:val="007C6F04"/>
    <w:rsid w:val="007D0E8B"/>
    <w:rsid w:val="007D4140"/>
    <w:rsid w:val="007D4189"/>
    <w:rsid w:val="007E00F4"/>
    <w:rsid w:val="007E3301"/>
    <w:rsid w:val="007E5141"/>
    <w:rsid w:val="007E5B85"/>
    <w:rsid w:val="007F2930"/>
    <w:rsid w:val="007F3B91"/>
    <w:rsid w:val="007F406F"/>
    <w:rsid w:val="007F40E5"/>
    <w:rsid w:val="007F5A64"/>
    <w:rsid w:val="007F7F35"/>
    <w:rsid w:val="00801656"/>
    <w:rsid w:val="008025D2"/>
    <w:rsid w:val="00802CC0"/>
    <w:rsid w:val="00806D12"/>
    <w:rsid w:val="008125B3"/>
    <w:rsid w:val="008132DB"/>
    <w:rsid w:val="00813AF0"/>
    <w:rsid w:val="00814022"/>
    <w:rsid w:val="00823F68"/>
    <w:rsid w:val="008276DB"/>
    <w:rsid w:val="008345ED"/>
    <w:rsid w:val="008355A7"/>
    <w:rsid w:val="00835B93"/>
    <w:rsid w:val="00836A88"/>
    <w:rsid w:val="00837E99"/>
    <w:rsid w:val="00841FDA"/>
    <w:rsid w:val="00844B2F"/>
    <w:rsid w:val="00846885"/>
    <w:rsid w:val="008523FC"/>
    <w:rsid w:val="00852498"/>
    <w:rsid w:val="00854591"/>
    <w:rsid w:val="00856A94"/>
    <w:rsid w:val="00856CBE"/>
    <w:rsid w:val="00857D1B"/>
    <w:rsid w:val="00861D8C"/>
    <w:rsid w:val="00864D32"/>
    <w:rsid w:val="00867876"/>
    <w:rsid w:val="008702A9"/>
    <w:rsid w:val="00871300"/>
    <w:rsid w:val="008713ED"/>
    <w:rsid w:val="00874532"/>
    <w:rsid w:val="008814B2"/>
    <w:rsid w:val="008847C7"/>
    <w:rsid w:val="00885E28"/>
    <w:rsid w:val="00887ADB"/>
    <w:rsid w:val="0089028B"/>
    <w:rsid w:val="00892106"/>
    <w:rsid w:val="00893F91"/>
    <w:rsid w:val="00897961"/>
    <w:rsid w:val="00897CC7"/>
    <w:rsid w:val="008A30D7"/>
    <w:rsid w:val="008A6D64"/>
    <w:rsid w:val="008B3BD4"/>
    <w:rsid w:val="008B7C6D"/>
    <w:rsid w:val="008C249A"/>
    <w:rsid w:val="008C6CE1"/>
    <w:rsid w:val="008D3701"/>
    <w:rsid w:val="008D4459"/>
    <w:rsid w:val="008D4A1A"/>
    <w:rsid w:val="008D736E"/>
    <w:rsid w:val="008F16E2"/>
    <w:rsid w:val="008F2F5F"/>
    <w:rsid w:val="008F7235"/>
    <w:rsid w:val="00907FB2"/>
    <w:rsid w:val="00913203"/>
    <w:rsid w:val="00914FA0"/>
    <w:rsid w:val="009227B4"/>
    <w:rsid w:val="00926802"/>
    <w:rsid w:val="009303CD"/>
    <w:rsid w:val="009309EB"/>
    <w:rsid w:val="009315E4"/>
    <w:rsid w:val="00935463"/>
    <w:rsid w:val="00936D07"/>
    <w:rsid w:val="00937FBE"/>
    <w:rsid w:val="00941889"/>
    <w:rsid w:val="00944400"/>
    <w:rsid w:val="0094678D"/>
    <w:rsid w:val="00953B3A"/>
    <w:rsid w:val="00955E29"/>
    <w:rsid w:val="009645C2"/>
    <w:rsid w:val="00967EB9"/>
    <w:rsid w:val="0097303B"/>
    <w:rsid w:val="00973C28"/>
    <w:rsid w:val="00976F1E"/>
    <w:rsid w:val="00982C54"/>
    <w:rsid w:val="00986412"/>
    <w:rsid w:val="00986D16"/>
    <w:rsid w:val="00987B46"/>
    <w:rsid w:val="00992D36"/>
    <w:rsid w:val="00993028"/>
    <w:rsid w:val="00993DEA"/>
    <w:rsid w:val="00994853"/>
    <w:rsid w:val="009A0E3A"/>
    <w:rsid w:val="009A20C7"/>
    <w:rsid w:val="009B0A8E"/>
    <w:rsid w:val="009B0E63"/>
    <w:rsid w:val="009B2CD9"/>
    <w:rsid w:val="009B34C2"/>
    <w:rsid w:val="009D270B"/>
    <w:rsid w:val="009D5BE7"/>
    <w:rsid w:val="009E0CFA"/>
    <w:rsid w:val="009E5117"/>
    <w:rsid w:val="009E5873"/>
    <w:rsid w:val="009E7B5A"/>
    <w:rsid w:val="009F00E5"/>
    <w:rsid w:val="009F1BB1"/>
    <w:rsid w:val="009F62E4"/>
    <w:rsid w:val="00A0716D"/>
    <w:rsid w:val="00A10C28"/>
    <w:rsid w:val="00A14AF3"/>
    <w:rsid w:val="00A15EDA"/>
    <w:rsid w:val="00A25191"/>
    <w:rsid w:val="00A27B58"/>
    <w:rsid w:val="00A301FC"/>
    <w:rsid w:val="00A3244B"/>
    <w:rsid w:val="00A4141A"/>
    <w:rsid w:val="00A45AE0"/>
    <w:rsid w:val="00A50D78"/>
    <w:rsid w:val="00A51744"/>
    <w:rsid w:val="00A54AE3"/>
    <w:rsid w:val="00A61DF8"/>
    <w:rsid w:val="00A6461A"/>
    <w:rsid w:val="00A664A0"/>
    <w:rsid w:val="00A673C7"/>
    <w:rsid w:val="00A702B2"/>
    <w:rsid w:val="00A74EA2"/>
    <w:rsid w:val="00A75027"/>
    <w:rsid w:val="00A752AD"/>
    <w:rsid w:val="00A767F3"/>
    <w:rsid w:val="00A80ABA"/>
    <w:rsid w:val="00A822EB"/>
    <w:rsid w:val="00A87092"/>
    <w:rsid w:val="00A872DB"/>
    <w:rsid w:val="00A87448"/>
    <w:rsid w:val="00A90F61"/>
    <w:rsid w:val="00A9268C"/>
    <w:rsid w:val="00A961C3"/>
    <w:rsid w:val="00AA0061"/>
    <w:rsid w:val="00AA5BE5"/>
    <w:rsid w:val="00AB0E9B"/>
    <w:rsid w:val="00AB7E6F"/>
    <w:rsid w:val="00AC05DA"/>
    <w:rsid w:val="00AC12E0"/>
    <w:rsid w:val="00AC158F"/>
    <w:rsid w:val="00AC73B3"/>
    <w:rsid w:val="00AD032E"/>
    <w:rsid w:val="00AD1BAE"/>
    <w:rsid w:val="00AD6264"/>
    <w:rsid w:val="00AD651C"/>
    <w:rsid w:val="00AE13C2"/>
    <w:rsid w:val="00AE6D61"/>
    <w:rsid w:val="00AF0C2D"/>
    <w:rsid w:val="00AF366F"/>
    <w:rsid w:val="00AF4A98"/>
    <w:rsid w:val="00AF71E3"/>
    <w:rsid w:val="00B02323"/>
    <w:rsid w:val="00B0293D"/>
    <w:rsid w:val="00B040A2"/>
    <w:rsid w:val="00B13831"/>
    <w:rsid w:val="00B14357"/>
    <w:rsid w:val="00B16F7C"/>
    <w:rsid w:val="00B210FC"/>
    <w:rsid w:val="00B22A4D"/>
    <w:rsid w:val="00B23FDC"/>
    <w:rsid w:val="00B24327"/>
    <w:rsid w:val="00B26E66"/>
    <w:rsid w:val="00B31DBC"/>
    <w:rsid w:val="00B332D3"/>
    <w:rsid w:val="00B33733"/>
    <w:rsid w:val="00B344F5"/>
    <w:rsid w:val="00B34531"/>
    <w:rsid w:val="00B35841"/>
    <w:rsid w:val="00B35CED"/>
    <w:rsid w:val="00B40191"/>
    <w:rsid w:val="00B40EBB"/>
    <w:rsid w:val="00B42A0D"/>
    <w:rsid w:val="00B42CD5"/>
    <w:rsid w:val="00B42DFC"/>
    <w:rsid w:val="00B4642F"/>
    <w:rsid w:val="00B46E02"/>
    <w:rsid w:val="00B52E3B"/>
    <w:rsid w:val="00B54E6D"/>
    <w:rsid w:val="00B6538F"/>
    <w:rsid w:val="00B660B3"/>
    <w:rsid w:val="00B67503"/>
    <w:rsid w:val="00B71AA9"/>
    <w:rsid w:val="00B7672F"/>
    <w:rsid w:val="00B77025"/>
    <w:rsid w:val="00B80F08"/>
    <w:rsid w:val="00B83404"/>
    <w:rsid w:val="00B87724"/>
    <w:rsid w:val="00B87A49"/>
    <w:rsid w:val="00B902DF"/>
    <w:rsid w:val="00B90A7F"/>
    <w:rsid w:val="00B9111C"/>
    <w:rsid w:val="00B9118A"/>
    <w:rsid w:val="00B935BF"/>
    <w:rsid w:val="00BA1F97"/>
    <w:rsid w:val="00BA4A80"/>
    <w:rsid w:val="00BA61DA"/>
    <w:rsid w:val="00BA6E9D"/>
    <w:rsid w:val="00BB12E1"/>
    <w:rsid w:val="00BB1B76"/>
    <w:rsid w:val="00BB215D"/>
    <w:rsid w:val="00BB3302"/>
    <w:rsid w:val="00BC394B"/>
    <w:rsid w:val="00BC53A9"/>
    <w:rsid w:val="00BC58A6"/>
    <w:rsid w:val="00BC6DE5"/>
    <w:rsid w:val="00BD5BA7"/>
    <w:rsid w:val="00BE07BA"/>
    <w:rsid w:val="00BE280E"/>
    <w:rsid w:val="00BE54A7"/>
    <w:rsid w:val="00BE5E3C"/>
    <w:rsid w:val="00BE5F1A"/>
    <w:rsid w:val="00BF12E1"/>
    <w:rsid w:val="00BF1FA0"/>
    <w:rsid w:val="00BF24BC"/>
    <w:rsid w:val="00BF2BC3"/>
    <w:rsid w:val="00BF7921"/>
    <w:rsid w:val="00C001F4"/>
    <w:rsid w:val="00C00861"/>
    <w:rsid w:val="00C11EC3"/>
    <w:rsid w:val="00C1316C"/>
    <w:rsid w:val="00C13395"/>
    <w:rsid w:val="00C2008C"/>
    <w:rsid w:val="00C218FA"/>
    <w:rsid w:val="00C24174"/>
    <w:rsid w:val="00C2439B"/>
    <w:rsid w:val="00C245A4"/>
    <w:rsid w:val="00C33932"/>
    <w:rsid w:val="00C367BE"/>
    <w:rsid w:val="00C40C5E"/>
    <w:rsid w:val="00C4366A"/>
    <w:rsid w:val="00C4462E"/>
    <w:rsid w:val="00C47077"/>
    <w:rsid w:val="00C507FB"/>
    <w:rsid w:val="00C53689"/>
    <w:rsid w:val="00C571A2"/>
    <w:rsid w:val="00C57B2D"/>
    <w:rsid w:val="00C618F1"/>
    <w:rsid w:val="00C65D5B"/>
    <w:rsid w:val="00C670B8"/>
    <w:rsid w:val="00C71C27"/>
    <w:rsid w:val="00C7310B"/>
    <w:rsid w:val="00C76794"/>
    <w:rsid w:val="00C800D6"/>
    <w:rsid w:val="00C80DEE"/>
    <w:rsid w:val="00C83357"/>
    <w:rsid w:val="00C845B4"/>
    <w:rsid w:val="00C878AB"/>
    <w:rsid w:val="00C91DCB"/>
    <w:rsid w:val="00CA0F77"/>
    <w:rsid w:val="00CA4580"/>
    <w:rsid w:val="00CB01A3"/>
    <w:rsid w:val="00CB117B"/>
    <w:rsid w:val="00CB29C3"/>
    <w:rsid w:val="00CB3FBF"/>
    <w:rsid w:val="00CB5EBE"/>
    <w:rsid w:val="00CC2EAF"/>
    <w:rsid w:val="00CD0D5E"/>
    <w:rsid w:val="00CD3512"/>
    <w:rsid w:val="00CD4E1B"/>
    <w:rsid w:val="00CD4E54"/>
    <w:rsid w:val="00CF1A65"/>
    <w:rsid w:val="00CF34B9"/>
    <w:rsid w:val="00CF76FF"/>
    <w:rsid w:val="00D0791B"/>
    <w:rsid w:val="00D10EF6"/>
    <w:rsid w:val="00D138F5"/>
    <w:rsid w:val="00D13EFD"/>
    <w:rsid w:val="00D21A10"/>
    <w:rsid w:val="00D23422"/>
    <w:rsid w:val="00D24892"/>
    <w:rsid w:val="00D25192"/>
    <w:rsid w:val="00D25789"/>
    <w:rsid w:val="00D27BF6"/>
    <w:rsid w:val="00D31AF5"/>
    <w:rsid w:val="00D33289"/>
    <w:rsid w:val="00D364F7"/>
    <w:rsid w:val="00D40D6B"/>
    <w:rsid w:val="00D4621C"/>
    <w:rsid w:val="00D471D9"/>
    <w:rsid w:val="00D569A8"/>
    <w:rsid w:val="00D608C3"/>
    <w:rsid w:val="00D61A2B"/>
    <w:rsid w:val="00D637E4"/>
    <w:rsid w:val="00D63FC4"/>
    <w:rsid w:val="00D66A90"/>
    <w:rsid w:val="00D736CC"/>
    <w:rsid w:val="00D743A6"/>
    <w:rsid w:val="00D803B2"/>
    <w:rsid w:val="00D863E0"/>
    <w:rsid w:val="00D903EE"/>
    <w:rsid w:val="00D92FAF"/>
    <w:rsid w:val="00D9678A"/>
    <w:rsid w:val="00DB6BB6"/>
    <w:rsid w:val="00DC0D9C"/>
    <w:rsid w:val="00DC0EA6"/>
    <w:rsid w:val="00DC4185"/>
    <w:rsid w:val="00DC6A14"/>
    <w:rsid w:val="00DD1BA4"/>
    <w:rsid w:val="00DD556E"/>
    <w:rsid w:val="00DE1250"/>
    <w:rsid w:val="00DE12F4"/>
    <w:rsid w:val="00DE13CF"/>
    <w:rsid w:val="00DE4393"/>
    <w:rsid w:val="00DE552B"/>
    <w:rsid w:val="00DE564D"/>
    <w:rsid w:val="00DE734B"/>
    <w:rsid w:val="00DF121D"/>
    <w:rsid w:val="00DF45B0"/>
    <w:rsid w:val="00DF6AAF"/>
    <w:rsid w:val="00DF777E"/>
    <w:rsid w:val="00E014A1"/>
    <w:rsid w:val="00E14AD3"/>
    <w:rsid w:val="00E21A2B"/>
    <w:rsid w:val="00E30444"/>
    <w:rsid w:val="00E41FF2"/>
    <w:rsid w:val="00E43C13"/>
    <w:rsid w:val="00E44073"/>
    <w:rsid w:val="00E45DE1"/>
    <w:rsid w:val="00E532AE"/>
    <w:rsid w:val="00E5552D"/>
    <w:rsid w:val="00E57D14"/>
    <w:rsid w:val="00E57D1E"/>
    <w:rsid w:val="00E62F31"/>
    <w:rsid w:val="00E63F3A"/>
    <w:rsid w:val="00E64524"/>
    <w:rsid w:val="00E66D70"/>
    <w:rsid w:val="00E66E01"/>
    <w:rsid w:val="00E774ED"/>
    <w:rsid w:val="00E82666"/>
    <w:rsid w:val="00E84886"/>
    <w:rsid w:val="00E96784"/>
    <w:rsid w:val="00EA2B3C"/>
    <w:rsid w:val="00EA2EBA"/>
    <w:rsid w:val="00EA7BD6"/>
    <w:rsid w:val="00EB0797"/>
    <w:rsid w:val="00EB3401"/>
    <w:rsid w:val="00EB5741"/>
    <w:rsid w:val="00EB5B98"/>
    <w:rsid w:val="00EB5FF5"/>
    <w:rsid w:val="00EB67C2"/>
    <w:rsid w:val="00EC2C32"/>
    <w:rsid w:val="00EC404C"/>
    <w:rsid w:val="00ED0975"/>
    <w:rsid w:val="00ED5FAB"/>
    <w:rsid w:val="00EE0C49"/>
    <w:rsid w:val="00EE6D3C"/>
    <w:rsid w:val="00EF0733"/>
    <w:rsid w:val="00EF2E18"/>
    <w:rsid w:val="00EF7ADA"/>
    <w:rsid w:val="00F00594"/>
    <w:rsid w:val="00F03812"/>
    <w:rsid w:val="00F0488A"/>
    <w:rsid w:val="00F05EE4"/>
    <w:rsid w:val="00F11A1C"/>
    <w:rsid w:val="00F1212E"/>
    <w:rsid w:val="00F1375F"/>
    <w:rsid w:val="00F164AD"/>
    <w:rsid w:val="00F16BA2"/>
    <w:rsid w:val="00F21E76"/>
    <w:rsid w:val="00F2428F"/>
    <w:rsid w:val="00F25244"/>
    <w:rsid w:val="00F27A16"/>
    <w:rsid w:val="00F30F14"/>
    <w:rsid w:val="00F31211"/>
    <w:rsid w:val="00F316DD"/>
    <w:rsid w:val="00F40011"/>
    <w:rsid w:val="00F41B9E"/>
    <w:rsid w:val="00F425CB"/>
    <w:rsid w:val="00F42FEA"/>
    <w:rsid w:val="00F44352"/>
    <w:rsid w:val="00F4521A"/>
    <w:rsid w:val="00F474C2"/>
    <w:rsid w:val="00F52C1A"/>
    <w:rsid w:val="00F65F59"/>
    <w:rsid w:val="00F67A36"/>
    <w:rsid w:val="00F746A8"/>
    <w:rsid w:val="00F75359"/>
    <w:rsid w:val="00F77E4F"/>
    <w:rsid w:val="00F80466"/>
    <w:rsid w:val="00F81048"/>
    <w:rsid w:val="00F81286"/>
    <w:rsid w:val="00F81ACE"/>
    <w:rsid w:val="00F828CA"/>
    <w:rsid w:val="00F8328B"/>
    <w:rsid w:val="00F85048"/>
    <w:rsid w:val="00F858DD"/>
    <w:rsid w:val="00F860DF"/>
    <w:rsid w:val="00F90832"/>
    <w:rsid w:val="00F90BAD"/>
    <w:rsid w:val="00F952B9"/>
    <w:rsid w:val="00F97D85"/>
    <w:rsid w:val="00FA1F1F"/>
    <w:rsid w:val="00FA57E5"/>
    <w:rsid w:val="00FA5857"/>
    <w:rsid w:val="00FA5917"/>
    <w:rsid w:val="00FC01BB"/>
    <w:rsid w:val="00FC1FDA"/>
    <w:rsid w:val="00FC3029"/>
    <w:rsid w:val="00FC3970"/>
    <w:rsid w:val="00FC467F"/>
    <w:rsid w:val="00FC4D89"/>
    <w:rsid w:val="00FD204F"/>
    <w:rsid w:val="00FD2068"/>
    <w:rsid w:val="00FD3D4C"/>
    <w:rsid w:val="00FD6206"/>
    <w:rsid w:val="00FE045E"/>
    <w:rsid w:val="00FE45E6"/>
    <w:rsid w:val="00FF2548"/>
    <w:rsid w:val="00FF5AC0"/>
    <w:rsid w:val="00FF6328"/>
    <w:rsid w:val="02CB3216"/>
    <w:rsid w:val="0D50CE94"/>
    <w:rsid w:val="0F4A06AB"/>
    <w:rsid w:val="0F9A7207"/>
    <w:rsid w:val="102FA08D"/>
    <w:rsid w:val="14BB9B78"/>
    <w:rsid w:val="1D8DD588"/>
    <w:rsid w:val="20849017"/>
    <w:rsid w:val="2C13717E"/>
    <w:rsid w:val="3B2AFCF2"/>
    <w:rsid w:val="46AD183A"/>
    <w:rsid w:val="479001AC"/>
    <w:rsid w:val="4C5DEC37"/>
    <w:rsid w:val="4C809A8D"/>
    <w:rsid w:val="561CD223"/>
    <w:rsid w:val="582E7084"/>
    <w:rsid w:val="59AD6D6A"/>
    <w:rsid w:val="5C21BCBD"/>
    <w:rsid w:val="5D978298"/>
    <w:rsid w:val="6BAA368F"/>
    <w:rsid w:val="75B0C8FD"/>
    <w:rsid w:val="7E1D8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46477"/>
  <w15:chartTrackingRefBased/>
  <w15:docId w15:val="{F7CBED45-CC1C-4273-A2F9-C5FC6396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9"/>
    <w:qFormat/>
    <w:rsid w:val="001B51CD"/>
    <w:pPr>
      <w:keepNext/>
      <w:numPr>
        <w:numId w:val="6"/>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Heading2">
    <w:name w:val="heading 2"/>
    <w:basedOn w:val="Heading1"/>
    <w:next w:val="Normal"/>
    <w:link w:val="Heading2Char"/>
    <w:uiPriority w:val="9"/>
    <w:qFormat/>
    <w:rsid w:val="001B51CD"/>
    <w:pPr>
      <w:numPr>
        <w:ilvl w:val="1"/>
      </w:numPr>
      <w:tabs>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9"/>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9"/>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9"/>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9"/>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eastAsia="MS Mincho"/>
      <w:b/>
      <w:sz w:val="24"/>
      <w:szCs w:val="22"/>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rsid w:val="0054733A"/>
    <w:pPr>
      <w:keepNext/>
      <w:numPr>
        <w:ilvl w:val="1"/>
        <w:numId w:val="7"/>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rsid w:val="00F828CA"/>
    <w:pPr>
      <w:keepNext/>
      <w:numPr>
        <w:ilvl w:val="2"/>
        <w:numId w:val="7"/>
      </w:numPr>
      <w:spacing w:before="60" w:line="250" w:lineRule="atLeast"/>
      <w:jc w:val="left"/>
      <w:outlineLvl w:val="0"/>
    </w:pPr>
    <w:rPr>
      <w:rFonts w:eastAsia="MS Mincho"/>
      <w:b/>
      <w:sz w:val="24"/>
      <w:lang w:eastAsia="ja-JP"/>
    </w:rPr>
  </w:style>
  <w:style w:type="paragraph" w:customStyle="1" w:styleId="a4">
    <w:name w:val="a4"/>
    <w:basedOn w:val="Normal"/>
    <w:next w:val="Normal"/>
    <w:rsid w:val="001B51CD"/>
    <w:pPr>
      <w:keepNext/>
      <w:numPr>
        <w:ilvl w:val="3"/>
        <w:numId w:val="7"/>
      </w:numPr>
      <w:tabs>
        <w:tab w:val="left" w:pos="880"/>
      </w:tabs>
      <w:spacing w:before="60"/>
      <w:jc w:val="left"/>
      <w:outlineLvl w:val="0"/>
    </w:pPr>
    <w:rPr>
      <w:rFonts w:eastAsia="MS Mincho"/>
      <w:b/>
      <w:bCs/>
      <w:iCs/>
      <w:lang w:eastAsia="ja-JP"/>
    </w:rPr>
  </w:style>
  <w:style w:type="paragraph" w:customStyle="1" w:styleId="a5">
    <w:name w:val="a5"/>
    <w:basedOn w:val="Normal"/>
    <w:next w:val="Normal"/>
    <w:rsid w:val="00F828CA"/>
    <w:pPr>
      <w:keepNext/>
      <w:numPr>
        <w:ilvl w:val="4"/>
        <w:numId w:val="7"/>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rsid w:val="00F828CA"/>
    <w:pPr>
      <w:keepNext/>
      <w:numPr>
        <w:ilvl w:val="5"/>
        <w:numId w:val="7"/>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rsid w:val="00F77E4F"/>
    <w:pPr>
      <w:keepNext/>
      <w:pageBreakBefore/>
      <w:numPr>
        <w:numId w:val="7"/>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qFormat/>
    <w:rsid w:val="00526284"/>
    <w:pPr>
      <w:spacing w:after="0" w:line="200" w:lineRule="atLeast"/>
      <w:jc w:val="left"/>
    </w:pPr>
    <w:rPr>
      <w:rFonts w:ascii="Courier New" w:hAnsi="Courier New"/>
      <w:sz w:val="18"/>
    </w:rPr>
  </w:style>
  <w:style w:type="paragraph" w:styleId="Caption">
    <w:name w:val="caption"/>
    <w:basedOn w:val="Normal"/>
    <w:next w:val="Normal"/>
    <w:link w:val="CaptionChar"/>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aliases w:val="Bullets,Bullet List,FooterText,- Bullets,목록 단락,?? ??,?????,????,Lista1,列出段落"/>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aliases w:val="Bullets Char,Bullet List Char,FooterText Char,- Bullets Char,목록 단락 Char,?? ?? Char,????? Char,???? Char,Lista1 Char,列出段落 Char"/>
    <w:basedOn w:val="DefaultParagraphFont"/>
    <w:link w:val="ListParagraph"/>
    <w:uiPriority w:val="34"/>
    <w:qFormat/>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styleId="PlainText">
    <w:name w:val="Plain Text"/>
    <w:basedOn w:val="Normal"/>
    <w:link w:val="PlainTextChar"/>
    <w:rsid w:val="002F45DD"/>
    <w:pPr>
      <w:tabs>
        <w:tab w:val="clear" w:pos="403"/>
      </w:tabs>
      <w:spacing w:after="240"/>
    </w:pPr>
    <w:rPr>
      <w:rFonts w:ascii="Courier New" w:eastAsia="MS Mincho" w:hAnsi="Courier New"/>
      <w:szCs w:val="20"/>
      <w:lang w:eastAsia="ja-JP"/>
    </w:rPr>
  </w:style>
  <w:style w:type="character" w:customStyle="1" w:styleId="PlainTextChar">
    <w:name w:val="Plain Text Char"/>
    <w:basedOn w:val="DefaultParagraphFont"/>
    <w:link w:val="PlainText"/>
    <w:rsid w:val="002F45DD"/>
    <w:rPr>
      <w:rFonts w:ascii="Courier New" w:eastAsia="MS Mincho" w:hAnsi="Courier New"/>
      <w:sz w:val="22"/>
      <w:lang w:val="en-GB" w:eastAsia="ja-JP"/>
    </w:rPr>
  </w:style>
  <w:style w:type="paragraph" w:styleId="Revision">
    <w:name w:val="Revision"/>
    <w:hidden/>
    <w:uiPriority w:val="99"/>
    <w:semiHidden/>
    <w:rsid w:val="00027609"/>
    <w:rPr>
      <w:sz w:val="22"/>
      <w:szCs w:val="22"/>
      <w:lang w:val="en-GB"/>
    </w:rPr>
  </w:style>
  <w:style w:type="character" w:customStyle="1" w:styleId="note-header-author-name">
    <w:name w:val="note-header-author-name"/>
    <w:basedOn w:val="DefaultParagraphFont"/>
    <w:rsid w:val="000C1CE3"/>
  </w:style>
  <w:style w:type="character" w:customStyle="1" w:styleId="text-nowrap">
    <w:name w:val="text-nowrap"/>
    <w:basedOn w:val="DefaultParagraphFont"/>
    <w:rsid w:val="000C1CE3"/>
  </w:style>
  <w:style w:type="character" w:customStyle="1" w:styleId="note-headline-light">
    <w:name w:val="note-headline-light"/>
    <w:basedOn w:val="DefaultParagraphFont"/>
    <w:rsid w:val="000C1CE3"/>
  </w:style>
  <w:style w:type="character" w:customStyle="1" w:styleId="d-none">
    <w:name w:val="d-none"/>
    <w:basedOn w:val="DefaultParagraphFont"/>
    <w:rsid w:val="000C1CE3"/>
  </w:style>
  <w:style w:type="character" w:customStyle="1" w:styleId="badge">
    <w:name w:val="badge"/>
    <w:basedOn w:val="DefaultParagraphFont"/>
    <w:rsid w:val="000C1CE3"/>
  </w:style>
  <w:style w:type="character" w:styleId="HTMLCode">
    <w:name w:val="HTML Code"/>
    <w:basedOn w:val="DefaultParagraphFont"/>
    <w:uiPriority w:val="99"/>
    <w:semiHidden/>
    <w:unhideWhenUsed/>
    <w:rsid w:val="000C1CE3"/>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C1CE3"/>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zh-CN"/>
    </w:rPr>
  </w:style>
  <w:style w:type="character" w:customStyle="1" w:styleId="HTMLPreformattedChar">
    <w:name w:val="HTML Preformatted Char"/>
    <w:basedOn w:val="DefaultParagraphFont"/>
    <w:link w:val="HTMLPreformatted"/>
    <w:uiPriority w:val="99"/>
    <w:semiHidden/>
    <w:rsid w:val="000C1CE3"/>
    <w:rPr>
      <w:rFonts w:ascii="Courier New" w:eastAsia="Times New Roman" w:hAnsi="Courier New" w:cs="Courier New"/>
      <w:lang w:eastAsia="zh-CN"/>
    </w:rPr>
  </w:style>
  <w:style w:type="character" w:customStyle="1" w:styleId="line">
    <w:name w:val="line"/>
    <w:basedOn w:val="DefaultParagraphFont"/>
    <w:rsid w:val="000C1CE3"/>
  </w:style>
  <w:style w:type="character" w:customStyle="1" w:styleId="kt">
    <w:name w:val="kt"/>
    <w:basedOn w:val="DefaultParagraphFont"/>
    <w:rsid w:val="000C1CE3"/>
  </w:style>
  <w:style w:type="character" w:customStyle="1" w:styleId="p">
    <w:name w:val="p"/>
    <w:basedOn w:val="DefaultParagraphFont"/>
    <w:rsid w:val="000C1CE3"/>
  </w:style>
  <w:style w:type="character" w:customStyle="1" w:styleId="mi">
    <w:name w:val="mi"/>
    <w:basedOn w:val="DefaultParagraphFont"/>
    <w:rsid w:val="000C1CE3"/>
  </w:style>
  <w:style w:type="character" w:customStyle="1" w:styleId="n">
    <w:name w:val="n"/>
    <w:basedOn w:val="DefaultParagraphFont"/>
    <w:rsid w:val="000C1CE3"/>
  </w:style>
  <w:style w:type="paragraph" w:customStyle="1" w:styleId="ListContinue1">
    <w:name w:val="List Continue 1"/>
    <w:basedOn w:val="Normal"/>
    <w:rsid w:val="00F05EE4"/>
    <w:pPr>
      <w:tabs>
        <w:tab w:val="clear" w:pos="403"/>
      </w:tabs>
      <w:spacing w:after="240"/>
      <w:ind w:left="403" w:hanging="403"/>
    </w:pPr>
  </w:style>
  <w:style w:type="character" w:customStyle="1" w:styleId="ISOCode">
    <w:name w:val="ISOCode"/>
    <w:basedOn w:val="DefaultParagraphFont"/>
    <w:rsid w:val="00F05EE4"/>
    <w:rPr>
      <w:rFonts w:ascii="Courier New" w:eastAsia="SimSun" w:hAnsi="Courier New" w:cs="Courier New"/>
      <w:b w:val="0"/>
      <w:i w:val="0"/>
      <w:sz w:val="22"/>
      <w:szCs w:val="24"/>
      <w:lang w:val="en-GB" w:eastAsia="zh-CN"/>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047B3"/>
    <w:rPr>
      <w:b/>
      <w:bCs/>
    </w:rPr>
  </w:style>
  <w:style w:type="character" w:customStyle="1" w:styleId="CommentSubjectChar">
    <w:name w:val="Comment Subject Char"/>
    <w:basedOn w:val="CommentTextChar"/>
    <w:link w:val="CommentSubject"/>
    <w:uiPriority w:val="99"/>
    <w:semiHidden/>
    <w:rsid w:val="007047B3"/>
    <w:rPr>
      <w:b/>
      <w:bCs/>
      <w:lang w:val="en-GB"/>
    </w:rPr>
  </w:style>
  <w:style w:type="numbering" w:customStyle="1" w:styleId="CurrentList4">
    <w:name w:val="Current List4"/>
    <w:uiPriority w:val="99"/>
    <w:rsid w:val="00BA61DA"/>
    <w:pPr>
      <w:numPr>
        <w:numId w:val="52"/>
      </w:numPr>
    </w:pPr>
  </w:style>
  <w:style w:type="paragraph" w:customStyle="1" w:styleId="AMDInstruction">
    <w:name w:val="AMD Instruction"/>
    <w:basedOn w:val="Normal"/>
    <w:qFormat/>
    <w:rsid w:val="00BA61DA"/>
    <w:pPr>
      <w:spacing w:after="240"/>
    </w:pPr>
    <w:rPr>
      <w:rFonts w:eastAsia="Times New Roman"/>
      <w:i/>
      <w:iCs/>
      <w:color w:val="2E74B5" w:themeColor="accent1" w:themeShade="BF"/>
      <w:sz w:val="24"/>
      <w:lang w:val="en-CA"/>
    </w:rPr>
  </w:style>
  <w:style w:type="character" w:customStyle="1" w:styleId="codeChar">
    <w:name w:val="code Char"/>
    <w:qFormat/>
    <w:rsid w:val="00BA61DA"/>
    <w:rPr>
      <w:rFonts w:ascii="Courier New" w:hAnsi="Courier New" w:cs="Courier New" w:hint="default"/>
      <w:noProof/>
      <w:lang w:val="en-GB" w:eastAsia="ja-JP" w:bidi="ar-SA"/>
    </w:rPr>
  </w:style>
  <w:style w:type="character" w:customStyle="1" w:styleId="CaptionChar">
    <w:name w:val="Caption Char"/>
    <w:link w:val="Caption"/>
    <w:rsid w:val="000B2BF4"/>
    <w:rPr>
      <w:i/>
      <w:iCs/>
      <w:color w:val="44546A" w:themeColor="text2"/>
      <w:sz w:val="18"/>
      <w:szCs w:val="18"/>
      <w:lang w:val="en-GB"/>
    </w:rPr>
  </w:style>
  <w:style w:type="paragraph" w:customStyle="1" w:styleId="Tableheader">
    <w:name w:val="Table header"/>
    <w:basedOn w:val="Tablebody"/>
    <w:rsid w:val="000B2BF4"/>
    <w:pPr>
      <w:tabs>
        <w:tab w:val="clear" w:pos="403"/>
        <w:tab w:val="left" w:pos="397"/>
        <w:tab w:val="left" w:pos="794"/>
        <w:tab w:val="left" w:pos="1191"/>
        <w:tab w:val="left" w:pos="1588"/>
        <w:tab w:val="left" w:pos="1985"/>
        <w:tab w:val="left" w:pos="2381"/>
        <w:tab w:val="left" w:pos="2778"/>
        <w:tab w:val="left" w:pos="3175"/>
        <w:tab w:val="left" w:pos="3572"/>
        <w:tab w:val="left" w:pos="3969"/>
      </w:tabs>
      <w:spacing w:line="210" w:lineRule="atLeast"/>
      <w:jc w:val="left"/>
    </w:pPr>
  </w:style>
  <w:style w:type="character" w:customStyle="1" w:styleId="codeZchn">
    <w:name w:val="code Zchn"/>
    <w:link w:val="code0"/>
    <w:qFormat/>
    <w:rsid w:val="006F1B52"/>
    <w:rPr>
      <w:rFonts w:ascii="Courier New" w:eastAsia="Times New Roman" w:hAnsi="Courier New"/>
      <w:lang w:val="en-GB"/>
    </w:rPr>
  </w:style>
  <w:style w:type="paragraph" w:customStyle="1" w:styleId="code0">
    <w:name w:val="code"/>
    <w:basedOn w:val="Normal"/>
    <w:next w:val="Normal"/>
    <w:link w:val="codeZchn"/>
    <w:qFormat/>
    <w:rsid w:val="006F1B52"/>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60" w:line="240" w:lineRule="auto"/>
      <w:jc w:val="left"/>
    </w:pPr>
    <w:rPr>
      <w:rFonts w:ascii="Courier New" w:eastAsia="Times New Roman" w:hAnsi="Courier New"/>
      <w:sz w:val="20"/>
      <w:szCs w:val="20"/>
    </w:rPr>
  </w:style>
  <w:style w:type="paragraph" w:styleId="FootnoteText">
    <w:name w:val="footnote text"/>
    <w:basedOn w:val="Normal"/>
    <w:link w:val="FootnoteTextChar"/>
    <w:uiPriority w:val="99"/>
    <w:semiHidden/>
    <w:unhideWhenUsed/>
    <w:rsid w:val="00EB67C2"/>
    <w:pPr>
      <w:tabs>
        <w:tab w:val="clear" w:pos="403"/>
      </w:tabs>
      <w:spacing w:after="0" w:line="240" w:lineRule="auto"/>
      <w:jc w:val="left"/>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semiHidden/>
    <w:rsid w:val="00EB67C2"/>
    <w:rPr>
      <w:rFonts w:ascii="Times New Roman" w:eastAsia="Times New Roman" w:hAnsi="Times New Roman"/>
    </w:rPr>
  </w:style>
  <w:style w:type="character" w:styleId="FootnoteReference">
    <w:name w:val="footnote reference"/>
    <w:basedOn w:val="DefaultParagraphFont"/>
    <w:uiPriority w:val="99"/>
    <w:semiHidden/>
    <w:unhideWhenUsed/>
    <w:rsid w:val="00EB67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179738">
      <w:bodyDiv w:val="1"/>
      <w:marLeft w:val="0"/>
      <w:marRight w:val="0"/>
      <w:marTop w:val="0"/>
      <w:marBottom w:val="0"/>
      <w:divBdr>
        <w:top w:val="none" w:sz="0" w:space="0" w:color="auto"/>
        <w:left w:val="none" w:sz="0" w:space="0" w:color="auto"/>
        <w:bottom w:val="none" w:sz="0" w:space="0" w:color="auto"/>
        <w:right w:val="none" w:sz="0" w:space="0" w:color="auto"/>
      </w:divBdr>
      <w:divsChild>
        <w:div w:id="894195605">
          <w:marLeft w:val="0"/>
          <w:marRight w:val="0"/>
          <w:marTop w:val="0"/>
          <w:marBottom w:val="0"/>
          <w:divBdr>
            <w:top w:val="none" w:sz="0" w:space="0" w:color="auto"/>
            <w:left w:val="none" w:sz="0" w:space="0" w:color="auto"/>
            <w:bottom w:val="none" w:sz="0" w:space="0" w:color="auto"/>
            <w:right w:val="none" w:sz="0" w:space="0" w:color="auto"/>
          </w:divBdr>
        </w:div>
      </w:divsChild>
    </w:div>
    <w:div w:id="510685147">
      <w:bodyDiv w:val="1"/>
      <w:marLeft w:val="0"/>
      <w:marRight w:val="0"/>
      <w:marTop w:val="0"/>
      <w:marBottom w:val="0"/>
      <w:divBdr>
        <w:top w:val="none" w:sz="0" w:space="0" w:color="auto"/>
        <w:left w:val="none" w:sz="0" w:space="0" w:color="auto"/>
        <w:bottom w:val="none" w:sz="0" w:space="0" w:color="auto"/>
        <w:right w:val="none" w:sz="0" w:space="0" w:color="auto"/>
      </w:divBdr>
      <w:divsChild>
        <w:div w:id="182474479">
          <w:marLeft w:val="0"/>
          <w:marRight w:val="0"/>
          <w:marTop w:val="0"/>
          <w:marBottom w:val="0"/>
          <w:divBdr>
            <w:top w:val="none" w:sz="0" w:space="0" w:color="auto"/>
            <w:left w:val="none" w:sz="0" w:space="0" w:color="auto"/>
            <w:bottom w:val="none" w:sz="0" w:space="0" w:color="auto"/>
            <w:right w:val="none" w:sz="0" w:space="0" w:color="auto"/>
          </w:divBdr>
        </w:div>
        <w:div w:id="814958078">
          <w:marLeft w:val="0"/>
          <w:marRight w:val="0"/>
          <w:marTop w:val="0"/>
          <w:marBottom w:val="0"/>
          <w:divBdr>
            <w:top w:val="none" w:sz="0" w:space="0" w:color="auto"/>
            <w:left w:val="none" w:sz="0" w:space="0" w:color="auto"/>
            <w:bottom w:val="none" w:sz="0" w:space="0" w:color="auto"/>
            <w:right w:val="none" w:sz="0" w:space="0" w:color="auto"/>
          </w:divBdr>
        </w:div>
        <w:div w:id="1840002603">
          <w:marLeft w:val="0"/>
          <w:marRight w:val="0"/>
          <w:marTop w:val="0"/>
          <w:marBottom w:val="0"/>
          <w:divBdr>
            <w:top w:val="none" w:sz="0" w:space="0" w:color="auto"/>
            <w:left w:val="none" w:sz="0" w:space="0" w:color="auto"/>
            <w:bottom w:val="none" w:sz="0" w:space="0" w:color="auto"/>
            <w:right w:val="none" w:sz="0" w:space="0" w:color="auto"/>
          </w:divBdr>
          <w:divsChild>
            <w:div w:id="517550013">
              <w:marLeft w:val="0"/>
              <w:marRight w:val="0"/>
              <w:marTop w:val="0"/>
              <w:marBottom w:val="0"/>
              <w:divBdr>
                <w:top w:val="none" w:sz="0" w:space="0" w:color="auto"/>
                <w:left w:val="none" w:sz="0" w:space="0" w:color="auto"/>
                <w:bottom w:val="none" w:sz="0" w:space="0" w:color="auto"/>
                <w:right w:val="none" w:sz="0" w:space="0" w:color="auto"/>
              </w:divBdr>
              <w:divsChild>
                <w:div w:id="21052114">
                  <w:marLeft w:val="0"/>
                  <w:marRight w:val="0"/>
                  <w:marTop w:val="0"/>
                  <w:marBottom w:val="0"/>
                  <w:divBdr>
                    <w:top w:val="none" w:sz="0" w:space="0" w:color="auto"/>
                    <w:left w:val="none" w:sz="0" w:space="0" w:color="auto"/>
                    <w:bottom w:val="none" w:sz="0" w:space="0" w:color="auto"/>
                    <w:right w:val="none" w:sz="0" w:space="0" w:color="auto"/>
                  </w:divBdr>
                  <w:divsChild>
                    <w:div w:id="17080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93237479">
      <w:bodyDiv w:val="1"/>
      <w:marLeft w:val="0"/>
      <w:marRight w:val="0"/>
      <w:marTop w:val="0"/>
      <w:marBottom w:val="0"/>
      <w:divBdr>
        <w:top w:val="none" w:sz="0" w:space="0" w:color="auto"/>
        <w:left w:val="none" w:sz="0" w:space="0" w:color="auto"/>
        <w:bottom w:val="none" w:sz="0" w:space="0" w:color="auto"/>
        <w:right w:val="none" w:sz="0" w:space="0" w:color="auto"/>
      </w:divBdr>
    </w:div>
    <w:div w:id="1473524699">
      <w:bodyDiv w:val="1"/>
      <w:marLeft w:val="0"/>
      <w:marRight w:val="0"/>
      <w:marTop w:val="0"/>
      <w:marBottom w:val="0"/>
      <w:divBdr>
        <w:top w:val="none" w:sz="0" w:space="0" w:color="auto"/>
        <w:left w:val="none" w:sz="0" w:space="0" w:color="auto"/>
        <w:bottom w:val="none" w:sz="0" w:space="0" w:color="auto"/>
        <w:right w:val="none" w:sz="0" w:space="0" w:color="auto"/>
      </w:divBdr>
    </w:div>
    <w:div w:id="1770157743">
      <w:bodyDiv w:val="1"/>
      <w:marLeft w:val="0"/>
      <w:marRight w:val="0"/>
      <w:marTop w:val="0"/>
      <w:marBottom w:val="0"/>
      <w:divBdr>
        <w:top w:val="none" w:sz="0" w:space="0" w:color="auto"/>
        <w:left w:val="none" w:sz="0" w:space="0" w:color="auto"/>
        <w:bottom w:val="none" w:sz="0" w:space="0" w:color="auto"/>
        <w:right w:val="none" w:sz="0" w:space="0" w:color="auto"/>
      </w:divBdr>
      <w:divsChild>
        <w:div w:id="1131089821">
          <w:marLeft w:val="0"/>
          <w:marRight w:val="0"/>
          <w:marTop w:val="0"/>
          <w:marBottom w:val="0"/>
          <w:divBdr>
            <w:top w:val="none" w:sz="0" w:space="0" w:color="auto"/>
            <w:left w:val="none" w:sz="0" w:space="0" w:color="auto"/>
            <w:bottom w:val="none" w:sz="0" w:space="0" w:color="auto"/>
            <w:right w:val="none" w:sz="0" w:space="0" w:color="auto"/>
          </w:divBdr>
        </w:div>
        <w:div w:id="1209339437">
          <w:marLeft w:val="0"/>
          <w:marRight w:val="0"/>
          <w:marTop w:val="0"/>
          <w:marBottom w:val="0"/>
          <w:divBdr>
            <w:top w:val="none" w:sz="0" w:space="0" w:color="auto"/>
            <w:left w:val="none" w:sz="0" w:space="0" w:color="auto"/>
            <w:bottom w:val="none" w:sz="0" w:space="0" w:color="auto"/>
            <w:right w:val="none" w:sz="0" w:space="0" w:color="auto"/>
          </w:divBdr>
          <w:divsChild>
            <w:div w:id="422262416">
              <w:marLeft w:val="0"/>
              <w:marRight w:val="0"/>
              <w:marTop w:val="0"/>
              <w:marBottom w:val="0"/>
              <w:divBdr>
                <w:top w:val="none" w:sz="0" w:space="0" w:color="auto"/>
                <w:left w:val="none" w:sz="0" w:space="0" w:color="auto"/>
                <w:bottom w:val="none" w:sz="0" w:space="0" w:color="auto"/>
                <w:right w:val="none" w:sz="0" w:space="0" w:color="auto"/>
              </w:divBdr>
              <w:divsChild>
                <w:div w:id="4011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97054">
      <w:bodyDiv w:val="1"/>
      <w:marLeft w:val="0"/>
      <w:marRight w:val="0"/>
      <w:marTop w:val="0"/>
      <w:marBottom w:val="0"/>
      <w:divBdr>
        <w:top w:val="none" w:sz="0" w:space="0" w:color="auto"/>
        <w:left w:val="none" w:sz="0" w:space="0" w:color="auto"/>
        <w:bottom w:val="none" w:sz="0" w:space="0" w:color="auto"/>
        <w:right w:val="none" w:sz="0" w:space="0" w:color="auto"/>
      </w:divBdr>
      <w:divsChild>
        <w:div w:id="44525993">
          <w:marLeft w:val="0"/>
          <w:marRight w:val="0"/>
          <w:marTop w:val="0"/>
          <w:marBottom w:val="0"/>
          <w:divBdr>
            <w:top w:val="none" w:sz="0" w:space="0" w:color="auto"/>
            <w:left w:val="none" w:sz="0" w:space="0" w:color="auto"/>
            <w:bottom w:val="none" w:sz="0" w:space="0" w:color="auto"/>
            <w:right w:val="none" w:sz="0" w:space="0" w:color="auto"/>
          </w:divBdr>
        </w:div>
        <w:div w:id="663431469">
          <w:marLeft w:val="0"/>
          <w:marRight w:val="0"/>
          <w:marTop w:val="0"/>
          <w:marBottom w:val="0"/>
          <w:divBdr>
            <w:top w:val="none" w:sz="0" w:space="0" w:color="auto"/>
            <w:left w:val="none" w:sz="0" w:space="0" w:color="auto"/>
            <w:bottom w:val="none" w:sz="0" w:space="0" w:color="auto"/>
            <w:right w:val="none" w:sz="0" w:space="0" w:color="auto"/>
          </w:divBdr>
        </w:div>
        <w:div w:id="1493839905">
          <w:marLeft w:val="0"/>
          <w:marRight w:val="0"/>
          <w:marTop w:val="0"/>
          <w:marBottom w:val="0"/>
          <w:divBdr>
            <w:top w:val="none" w:sz="0" w:space="0" w:color="auto"/>
            <w:left w:val="none" w:sz="0" w:space="0" w:color="auto"/>
            <w:bottom w:val="none" w:sz="0" w:space="0" w:color="auto"/>
            <w:right w:val="none" w:sz="0" w:space="0" w:color="auto"/>
          </w:divBdr>
          <w:divsChild>
            <w:div w:id="122161732">
              <w:marLeft w:val="0"/>
              <w:marRight w:val="0"/>
              <w:marTop w:val="0"/>
              <w:marBottom w:val="0"/>
              <w:divBdr>
                <w:top w:val="none" w:sz="0" w:space="0" w:color="auto"/>
                <w:left w:val="none" w:sz="0" w:space="0" w:color="auto"/>
                <w:bottom w:val="none" w:sz="0" w:space="0" w:color="auto"/>
                <w:right w:val="none" w:sz="0" w:space="0" w:color="auto"/>
              </w:divBdr>
              <w:divsChild>
                <w:div w:id="50367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drafting-standards.html" TargetMode="Externa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n\Downloads\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Props1.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2.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3.xml><?xml version="1.0" encoding="utf-8"?>
<ds:datastoreItem xmlns:ds="http://schemas.openxmlformats.org/officeDocument/2006/customXml" ds:itemID="{DDA0AB87-A38B-43C3-96C4-604861BAE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docProps/app.xml><?xml version="1.0" encoding="utf-8"?>
<Properties xmlns="http://schemas.openxmlformats.org/officeDocument/2006/extended-properties" xmlns:vt="http://schemas.openxmlformats.org/officeDocument/2006/docPropsVTypes">
  <Template>Simple_template</Template>
  <TotalTime>1</TotalTime>
  <Pages>10</Pages>
  <Words>2687</Words>
  <Characters>17682</Characters>
  <Application>Microsoft Office Word</Application>
  <DocSecurity>4</DocSecurity>
  <Lines>272</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20258</CharactersWithSpaces>
  <SharedDoc>false</SharedDoc>
  <HLinks>
    <vt:vector size="240" baseType="variant">
      <vt:variant>
        <vt:i4>4718603</vt:i4>
      </vt:variant>
      <vt:variant>
        <vt:i4>219</vt:i4>
      </vt:variant>
      <vt:variant>
        <vt:i4>0</vt:i4>
      </vt:variant>
      <vt:variant>
        <vt:i4>5</vt:i4>
      </vt:variant>
      <vt:variant>
        <vt:lpwstr>https://www.electropedia.org/</vt:lpwstr>
      </vt:variant>
      <vt:variant>
        <vt:lpwstr/>
      </vt:variant>
      <vt:variant>
        <vt:i4>2752545</vt:i4>
      </vt:variant>
      <vt:variant>
        <vt:i4>216</vt:i4>
      </vt:variant>
      <vt:variant>
        <vt:i4>0</vt:i4>
      </vt:variant>
      <vt:variant>
        <vt:i4>5</vt:i4>
      </vt:variant>
      <vt:variant>
        <vt:lpwstr>https://www.iso.org/obp</vt:lpwstr>
      </vt:variant>
      <vt:variant>
        <vt:lpwstr/>
      </vt:variant>
      <vt:variant>
        <vt:i4>720989</vt:i4>
      </vt:variant>
      <vt:variant>
        <vt:i4>213</vt:i4>
      </vt:variant>
      <vt:variant>
        <vt:i4>0</vt:i4>
      </vt:variant>
      <vt:variant>
        <vt:i4>5</vt:i4>
      </vt:variant>
      <vt:variant>
        <vt:lpwstr>https://www.iso.org/members.html</vt:lpwstr>
      </vt:variant>
      <vt:variant>
        <vt:lpwstr/>
      </vt:variant>
      <vt:variant>
        <vt:i4>2293873</vt:i4>
      </vt:variant>
      <vt:variant>
        <vt:i4>210</vt:i4>
      </vt:variant>
      <vt:variant>
        <vt:i4>0</vt:i4>
      </vt:variant>
      <vt:variant>
        <vt:i4>5</vt:i4>
      </vt:variant>
      <vt:variant>
        <vt:lpwstr>https://www.iso.org/foreword-supplementary-information.html</vt:lpwstr>
      </vt:variant>
      <vt:variant>
        <vt:lpwstr/>
      </vt:variant>
      <vt:variant>
        <vt:i4>3932192</vt:i4>
      </vt:variant>
      <vt:variant>
        <vt:i4>207</vt:i4>
      </vt:variant>
      <vt:variant>
        <vt:i4>0</vt:i4>
      </vt:variant>
      <vt:variant>
        <vt:i4>5</vt:i4>
      </vt:variant>
      <vt:variant>
        <vt:lpwstr>http://www.iso.org/patents</vt:lpwstr>
      </vt:variant>
      <vt:variant>
        <vt:lpwstr/>
      </vt:variant>
      <vt:variant>
        <vt:i4>1835072</vt:i4>
      </vt:variant>
      <vt:variant>
        <vt:i4>204</vt:i4>
      </vt:variant>
      <vt:variant>
        <vt:i4>0</vt:i4>
      </vt:variant>
      <vt:variant>
        <vt:i4>5</vt:i4>
      </vt:variant>
      <vt:variant>
        <vt:lpwstr>https://www.iso.org/directives-and-policies.html</vt:lpwstr>
      </vt:variant>
      <vt:variant>
        <vt:lpwstr/>
      </vt:variant>
      <vt:variant>
        <vt:i4>1179708</vt:i4>
      </vt:variant>
      <vt:variant>
        <vt:i4>197</vt:i4>
      </vt:variant>
      <vt:variant>
        <vt:i4>0</vt:i4>
      </vt:variant>
      <vt:variant>
        <vt:i4>5</vt:i4>
      </vt:variant>
      <vt:variant>
        <vt:lpwstr/>
      </vt:variant>
      <vt:variant>
        <vt:lpwstr>_Toc181692590</vt:lpwstr>
      </vt:variant>
      <vt:variant>
        <vt:i4>1245244</vt:i4>
      </vt:variant>
      <vt:variant>
        <vt:i4>191</vt:i4>
      </vt:variant>
      <vt:variant>
        <vt:i4>0</vt:i4>
      </vt:variant>
      <vt:variant>
        <vt:i4>5</vt:i4>
      </vt:variant>
      <vt:variant>
        <vt:lpwstr/>
      </vt:variant>
      <vt:variant>
        <vt:lpwstr>_Toc181692589</vt:lpwstr>
      </vt:variant>
      <vt:variant>
        <vt:i4>1245244</vt:i4>
      </vt:variant>
      <vt:variant>
        <vt:i4>185</vt:i4>
      </vt:variant>
      <vt:variant>
        <vt:i4>0</vt:i4>
      </vt:variant>
      <vt:variant>
        <vt:i4>5</vt:i4>
      </vt:variant>
      <vt:variant>
        <vt:lpwstr/>
      </vt:variant>
      <vt:variant>
        <vt:lpwstr>_Toc181692588</vt:lpwstr>
      </vt:variant>
      <vt:variant>
        <vt:i4>1245244</vt:i4>
      </vt:variant>
      <vt:variant>
        <vt:i4>179</vt:i4>
      </vt:variant>
      <vt:variant>
        <vt:i4>0</vt:i4>
      </vt:variant>
      <vt:variant>
        <vt:i4>5</vt:i4>
      </vt:variant>
      <vt:variant>
        <vt:lpwstr/>
      </vt:variant>
      <vt:variant>
        <vt:lpwstr>_Toc181692587</vt:lpwstr>
      </vt:variant>
      <vt:variant>
        <vt:i4>1245244</vt:i4>
      </vt:variant>
      <vt:variant>
        <vt:i4>173</vt:i4>
      </vt:variant>
      <vt:variant>
        <vt:i4>0</vt:i4>
      </vt:variant>
      <vt:variant>
        <vt:i4>5</vt:i4>
      </vt:variant>
      <vt:variant>
        <vt:lpwstr/>
      </vt:variant>
      <vt:variant>
        <vt:lpwstr>_Toc181692586</vt:lpwstr>
      </vt:variant>
      <vt:variant>
        <vt:i4>1245244</vt:i4>
      </vt:variant>
      <vt:variant>
        <vt:i4>167</vt:i4>
      </vt:variant>
      <vt:variant>
        <vt:i4>0</vt:i4>
      </vt:variant>
      <vt:variant>
        <vt:i4>5</vt:i4>
      </vt:variant>
      <vt:variant>
        <vt:lpwstr/>
      </vt:variant>
      <vt:variant>
        <vt:lpwstr>_Toc181692585</vt:lpwstr>
      </vt:variant>
      <vt:variant>
        <vt:i4>1245244</vt:i4>
      </vt:variant>
      <vt:variant>
        <vt:i4>161</vt:i4>
      </vt:variant>
      <vt:variant>
        <vt:i4>0</vt:i4>
      </vt:variant>
      <vt:variant>
        <vt:i4>5</vt:i4>
      </vt:variant>
      <vt:variant>
        <vt:lpwstr/>
      </vt:variant>
      <vt:variant>
        <vt:lpwstr>_Toc181692584</vt:lpwstr>
      </vt:variant>
      <vt:variant>
        <vt:i4>1245244</vt:i4>
      </vt:variant>
      <vt:variant>
        <vt:i4>155</vt:i4>
      </vt:variant>
      <vt:variant>
        <vt:i4>0</vt:i4>
      </vt:variant>
      <vt:variant>
        <vt:i4>5</vt:i4>
      </vt:variant>
      <vt:variant>
        <vt:lpwstr/>
      </vt:variant>
      <vt:variant>
        <vt:lpwstr>_Toc181692583</vt:lpwstr>
      </vt:variant>
      <vt:variant>
        <vt:i4>1245244</vt:i4>
      </vt:variant>
      <vt:variant>
        <vt:i4>149</vt:i4>
      </vt:variant>
      <vt:variant>
        <vt:i4>0</vt:i4>
      </vt:variant>
      <vt:variant>
        <vt:i4>5</vt:i4>
      </vt:variant>
      <vt:variant>
        <vt:lpwstr/>
      </vt:variant>
      <vt:variant>
        <vt:lpwstr>_Toc181692582</vt:lpwstr>
      </vt:variant>
      <vt:variant>
        <vt:i4>1245244</vt:i4>
      </vt:variant>
      <vt:variant>
        <vt:i4>143</vt:i4>
      </vt:variant>
      <vt:variant>
        <vt:i4>0</vt:i4>
      </vt:variant>
      <vt:variant>
        <vt:i4>5</vt:i4>
      </vt:variant>
      <vt:variant>
        <vt:lpwstr/>
      </vt:variant>
      <vt:variant>
        <vt:lpwstr>_Toc181692581</vt:lpwstr>
      </vt:variant>
      <vt:variant>
        <vt:i4>1245244</vt:i4>
      </vt:variant>
      <vt:variant>
        <vt:i4>137</vt:i4>
      </vt:variant>
      <vt:variant>
        <vt:i4>0</vt:i4>
      </vt:variant>
      <vt:variant>
        <vt:i4>5</vt:i4>
      </vt:variant>
      <vt:variant>
        <vt:lpwstr/>
      </vt:variant>
      <vt:variant>
        <vt:lpwstr>_Toc181692580</vt:lpwstr>
      </vt:variant>
      <vt:variant>
        <vt:i4>1835068</vt:i4>
      </vt:variant>
      <vt:variant>
        <vt:i4>131</vt:i4>
      </vt:variant>
      <vt:variant>
        <vt:i4>0</vt:i4>
      </vt:variant>
      <vt:variant>
        <vt:i4>5</vt:i4>
      </vt:variant>
      <vt:variant>
        <vt:lpwstr/>
      </vt:variant>
      <vt:variant>
        <vt:lpwstr>_Toc181692579</vt:lpwstr>
      </vt:variant>
      <vt:variant>
        <vt:i4>1835068</vt:i4>
      </vt:variant>
      <vt:variant>
        <vt:i4>125</vt:i4>
      </vt:variant>
      <vt:variant>
        <vt:i4>0</vt:i4>
      </vt:variant>
      <vt:variant>
        <vt:i4>5</vt:i4>
      </vt:variant>
      <vt:variant>
        <vt:lpwstr/>
      </vt:variant>
      <vt:variant>
        <vt:lpwstr>_Toc181692578</vt:lpwstr>
      </vt:variant>
      <vt:variant>
        <vt:i4>1835068</vt:i4>
      </vt:variant>
      <vt:variant>
        <vt:i4>119</vt:i4>
      </vt:variant>
      <vt:variant>
        <vt:i4>0</vt:i4>
      </vt:variant>
      <vt:variant>
        <vt:i4>5</vt:i4>
      </vt:variant>
      <vt:variant>
        <vt:lpwstr/>
      </vt:variant>
      <vt:variant>
        <vt:lpwstr>_Toc181692577</vt:lpwstr>
      </vt:variant>
      <vt:variant>
        <vt:i4>1835068</vt:i4>
      </vt:variant>
      <vt:variant>
        <vt:i4>113</vt:i4>
      </vt:variant>
      <vt:variant>
        <vt:i4>0</vt:i4>
      </vt:variant>
      <vt:variant>
        <vt:i4>5</vt:i4>
      </vt:variant>
      <vt:variant>
        <vt:lpwstr/>
      </vt:variant>
      <vt:variant>
        <vt:lpwstr>_Toc181692576</vt:lpwstr>
      </vt:variant>
      <vt:variant>
        <vt:i4>1835068</vt:i4>
      </vt:variant>
      <vt:variant>
        <vt:i4>107</vt:i4>
      </vt:variant>
      <vt:variant>
        <vt:i4>0</vt:i4>
      </vt:variant>
      <vt:variant>
        <vt:i4>5</vt:i4>
      </vt:variant>
      <vt:variant>
        <vt:lpwstr/>
      </vt:variant>
      <vt:variant>
        <vt:lpwstr>_Toc181692575</vt:lpwstr>
      </vt:variant>
      <vt:variant>
        <vt:i4>1835068</vt:i4>
      </vt:variant>
      <vt:variant>
        <vt:i4>101</vt:i4>
      </vt:variant>
      <vt:variant>
        <vt:i4>0</vt:i4>
      </vt:variant>
      <vt:variant>
        <vt:i4>5</vt:i4>
      </vt:variant>
      <vt:variant>
        <vt:lpwstr/>
      </vt:variant>
      <vt:variant>
        <vt:lpwstr>_Toc181692574</vt:lpwstr>
      </vt:variant>
      <vt:variant>
        <vt:i4>1835068</vt:i4>
      </vt:variant>
      <vt:variant>
        <vt:i4>95</vt:i4>
      </vt:variant>
      <vt:variant>
        <vt:i4>0</vt:i4>
      </vt:variant>
      <vt:variant>
        <vt:i4>5</vt:i4>
      </vt:variant>
      <vt:variant>
        <vt:lpwstr/>
      </vt:variant>
      <vt:variant>
        <vt:lpwstr>_Toc181692573</vt:lpwstr>
      </vt:variant>
      <vt:variant>
        <vt:i4>1835068</vt:i4>
      </vt:variant>
      <vt:variant>
        <vt:i4>89</vt:i4>
      </vt:variant>
      <vt:variant>
        <vt:i4>0</vt:i4>
      </vt:variant>
      <vt:variant>
        <vt:i4>5</vt:i4>
      </vt:variant>
      <vt:variant>
        <vt:lpwstr/>
      </vt:variant>
      <vt:variant>
        <vt:lpwstr>_Toc181692572</vt:lpwstr>
      </vt:variant>
      <vt:variant>
        <vt:i4>1835068</vt:i4>
      </vt:variant>
      <vt:variant>
        <vt:i4>83</vt:i4>
      </vt:variant>
      <vt:variant>
        <vt:i4>0</vt:i4>
      </vt:variant>
      <vt:variant>
        <vt:i4>5</vt:i4>
      </vt:variant>
      <vt:variant>
        <vt:lpwstr/>
      </vt:variant>
      <vt:variant>
        <vt:lpwstr>_Toc181692571</vt:lpwstr>
      </vt:variant>
      <vt:variant>
        <vt:i4>1835068</vt:i4>
      </vt:variant>
      <vt:variant>
        <vt:i4>77</vt:i4>
      </vt:variant>
      <vt:variant>
        <vt:i4>0</vt:i4>
      </vt:variant>
      <vt:variant>
        <vt:i4>5</vt:i4>
      </vt:variant>
      <vt:variant>
        <vt:lpwstr/>
      </vt:variant>
      <vt:variant>
        <vt:lpwstr>_Toc181692570</vt:lpwstr>
      </vt:variant>
      <vt:variant>
        <vt:i4>1900604</vt:i4>
      </vt:variant>
      <vt:variant>
        <vt:i4>71</vt:i4>
      </vt:variant>
      <vt:variant>
        <vt:i4>0</vt:i4>
      </vt:variant>
      <vt:variant>
        <vt:i4>5</vt:i4>
      </vt:variant>
      <vt:variant>
        <vt:lpwstr/>
      </vt:variant>
      <vt:variant>
        <vt:lpwstr>_Toc181692569</vt:lpwstr>
      </vt:variant>
      <vt:variant>
        <vt:i4>1900604</vt:i4>
      </vt:variant>
      <vt:variant>
        <vt:i4>65</vt:i4>
      </vt:variant>
      <vt:variant>
        <vt:i4>0</vt:i4>
      </vt:variant>
      <vt:variant>
        <vt:i4>5</vt:i4>
      </vt:variant>
      <vt:variant>
        <vt:lpwstr/>
      </vt:variant>
      <vt:variant>
        <vt:lpwstr>_Toc181692568</vt:lpwstr>
      </vt:variant>
      <vt:variant>
        <vt:i4>1900604</vt:i4>
      </vt:variant>
      <vt:variant>
        <vt:i4>59</vt:i4>
      </vt:variant>
      <vt:variant>
        <vt:i4>0</vt:i4>
      </vt:variant>
      <vt:variant>
        <vt:i4>5</vt:i4>
      </vt:variant>
      <vt:variant>
        <vt:lpwstr/>
      </vt:variant>
      <vt:variant>
        <vt:lpwstr>_Toc181692567</vt:lpwstr>
      </vt:variant>
      <vt:variant>
        <vt:i4>1900604</vt:i4>
      </vt:variant>
      <vt:variant>
        <vt:i4>53</vt:i4>
      </vt:variant>
      <vt:variant>
        <vt:i4>0</vt:i4>
      </vt:variant>
      <vt:variant>
        <vt:i4>5</vt:i4>
      </vt:variant>
      <vt:variant>
        <vt:lpwstr/>
      </vt:variant>
      <vt:variant>
        <vt:lpwstr>_Toc181692566</vt:lpwstr>
      </vt:variant>
      <vt:variant>
        <vt:i4>1900604</vt:i4>
      </vt:variant>
      <vt:variant>
        <vt:i4>47</vt:i4>
      </vt:variant>
      <vt:variant>
        <vt:i4>0</vt:i4>
      </vt:variant>
      <vt:variant>
        <vt:i4>5</vt:i4>
      </vt:variant>
      <vt:variant>
        <vt:lpwstr/>
      </vt:variant>
      <vt:variant>
        <vt:lpwstr>_Toc181692565</vt:lpwstr>
      </vt:variant>
      <vt:variant>
        <vt:i4>1900604</vt:i4>
      </vt:variant>
      <vt:variant>
        <vt:i4>41</vt:i4>
      </vt:variant>
      <vt:variant>
        <vt:i4>0</vt:i4>
      </vt:variant>
      <vt:variant>
        <vt:i4>5</vt:i4>
      </vt:variant>
      <vt:variant>
        <vt:lpwstr/>
      </vt:variant>
      <vt:variant>
        <vt:lpwstr>_Toc181692564</vt:lpwstr>
      </vt:variant>
      <vt:variant>
        <vt:i4>1900604</vt:i4>
      </vt:variant>
      <vt:variant>
        <vt:i4>35</vt:i4>
      </vt:variant>
      <vt:variant>
        <vt:i4>0</vt:i4>
      </vt:variant>
      <vt:variant>
        <vt:i4>5</vt:i4>
      </vt:variant>
      <vt:variant>
        <vt:lpwstr/>
      </vt:variant>
      <vt:variant>
        <vt:lpwstr>_Toc181692563</vt:lpwstr>
      </vt:variant>
      <vt:variant>
        <vt:i4>1900604</vt:i4>
      </vt:variant>
      <vt:variant>
        <vt:i4>29</vt:i4>
      </vt:variant>
      <vt:variant>
        <vt:i4>0</vt:i4>
      </vt:variant>
      <vt:variant>
        <vt:i4>5</vt:i4>
      </vt:variant>
      <vt:variant>
        <vt:lpwstr/>
      </vt:variant>
      <vt:variant>
        <vt:lpwstr>_Toc181692562</vt:lpwstr>
      </vt:variant>
      <vt:variant>
        <vt:i4>1900604</vt:i4>
      </vt:variant>
      <vt:variant>
        <vt:i4>23</vt:i4>
      </vt:variant>
      <vt:variant>
        <vt:i4>0</vt:i4>
      </vt:variant>
      <vt:variant>
        <vt:i4>5</vt:i4>
      </vt:variant>
      <vt:variant>
        <vt:lpwstr/>
      </vt:variant>
      <vt:variant>
        <vt:lpwstr>_Toc181692561</vt:lpwstr>
      </vt:variant>
      <vt:variant>
        <vt:i4>1900604</vt:i4>
      </vt:variant>
      <vt:variant>
        <vt:i4>17</vt:i4>
      </vt:variant>
      <vt:variant>
        <vt:i4>0</vt:i4>
      </vt:variant>
      <vt:variant>
        <vt:i4>5</vt:i4>
      </vt:variant>
      <vt:variant>
        <vt:lpwstr/>
      </vt:variant>
      <vt:variant>
        <vt:lpwstr>_Toc181692560</vt:lpwstr>
      </vt:variant>
      <vt:variant>
        <vt:i4>1966140</vt:i4>
      </vt:variant>
      <vt:variant>
        <vt:i4>11</vt:i4>
      </vt:variant>
      <vt:variant>
        <vt:i4>0</vt:i4>
      </vt:variant>
      <vt:variant>
        <vt:i4>5</vt:i4>
      </vt:variant>
      <vt:variant>
        <vt:lpwstr/>
      </vt:variant>
      <vt:variant>
        <vt:lpwstr>_Toc181692559</vt:lpwstr>
      </vt:variant>
      <vt:variant>
        <vt:i4>1966140</vt:i4>
      </vt:variant>
      <vt:variant>
        <vt:i4>5</vt:i4>
      </vt:variant>
      <vt:variant>
        <vt:i4>0</vt:i4>
      </vt:variant>
      <vt:variant>
        <vt:i4>5</vt:i4>
      </vt:variant>
      <vt:variant>
        <vt:lpwstr/>
      </vt:variant>
      <vt:variant>
        <vt:lpwstr>_Toc181692558</vt:lpwstr>
      </vt:variant>
      <vt:variant>
        <vt:i4>2097209</vt:i4>
      </vt:variant>
      <vt:variant>
        <vt:i4>0</vt:i4>
      </vt:variant>
      <vt:variant>
        <vt:i4>0</vt:i4>
      </vt:variant>
      <vt:variant>
        <vt:i4>5</vt:i4>
      </vt:variant>
      <vt:variant>
        <vt:lpwstr>https://www.iso.org/drafting-standards.html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dc:creator>
  <cp:keywords/>
  <dc:description/>
  <cp:lastModifiedBy>Sodagar, Iraj</cp:lastModifiedBy>
  <cp:revision>2</cp:revision>
  <dcterms:created xsi:type="dcterms:W3CDTF">2026-07-17T13:24:00Z</dcterms:created>
  <dcterms:modified xsi:type="dcterms:W3CDTF">2026-07-17T13:24:00Z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y fmtid="{D5CDD505-2E9C-101B-9397-08002B2CF9AE}" pid="11" name="GrammarlyDocumentId">
    <vt:lpwstr>9758fb1e-c011-4282-878c-cff633627fda</vt:lpwstr>
  </property>
</Properties>
</file>