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EE846" w14:textId="64B217E1" w:rsidR="00CB798F" w:rsidRPr="00B833CA" w:rsidRDefault="004E45B6" w:rsidP="00AF3B4A">
      <w:pPr>
        <w:pStyle w:val="Title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B833CA"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0" locked="0" layoutInCell="1" allowOverlap="1" wp14:anchorId="3AFB8860" wp14:editId="5EABB0ED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833CA">
        <w:rPr>
          <w:rFonts w:ascii="Times New Roman" w:hAnsi="Times New Roman" w:cs="Times New Roman"/>
          <w:b w:val="0"/>
          <w:u w:val="thick"/>
        </w:rPr>
        <w:t xml:space="preserve"> </w:t>
      </w:r>
      <w:r w:rsidRPr="00B833CA">
        <w:rPr>
          <w:rFonts w:ascii="Times New Roman" w:hAnsi="Times New Roman" w:cs="Times New Roman"/>
          <w:b w:val="0"/>
          <w:u w:val="thick"/>
        </w:rPr>
        <w:tab/>
      </w:r>
      <w:r w:rsidRPr="00B833CA">
        <w:rPr>
          <w:rFonts w:ascii="Times New Roman" w:hAnsi="Times New Roman" w:cs="Times New Roman"/>
          <w:w w:val="115"/>
          <w:u w:val="thick"/>
        </w:rPr>
        <w:t xml:space="preserve">ISO/IEC </w:t>
      </w:r>
      <w:proofErr w:type="spellStart"/>
      <w:r w:rsidRPr="00B833CA">
        <w:rPr>
          <w:rFonts w:ascii="Times New Roman" w:hAnsi="Times New Roman" w:cs="Times New Roman"/>
          <w:w w:val="115"/>
          <w:u w:val="thick"/>
        </w:rPr>
        <w:t>JTC</w:t>
      </w:r>
      <w:proofErr w:type="spellEnd"/>
      <w:r w:rsidRPr="00B833CA">
        <w:rPr>
          <w:rFonts w:ascii="Times New Roman" w:hAnsi="Times New Roman" w:cs="Times New Roman"/>
          <w:w w:val="115"/>
          <w:u w:val="thick"/>
        </w:rPr>
        <w:t xml:space="preserve"> 1/SC</w:t>
      </w:r>
      <w:r w:rsidRPr="00B833CA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B833CA">
        <w:rPr>
          <w:rFonts w:ascii="Times New Roman" w:hAnsi="Times New Roman" w:cs="Times New Roman"/>
          <w:w w:val="115"/>
          <w:u w:val="thick"/>
        </w:rPr>
        <w:t>29/</w:t>
      </w:r>
      <w:proofErr w:type="spellStart"/>
      <w:r w:rsidRPr="00B833CA">
        <w:rPr>
          <w:rFonts w:ascii="Times New Roman" w:hAnsi="Times New Roman" w:cs="Times New Roman"/>
          <w:w w:val="115"/>
          <w:u w:val="thick"/>
        </w:rPr>
        <w:t>WG</w:t>
      </w:r>
      <w:proofErr w:type="spellEnd"/>
      <w:r w:rsidR="00A85544">
        <w:rPr>
          <w:rFonts w:ascii="Times New Roman" w:hAnsi="Times New Roman" w:cs="Times New Roman"/>
          <w:spacing w:val="-9"/>
          <w:w w:val="115"/>
          <w:u w:val="thick"/>
        </w:rPr>
        <w:t xml:space="preserve"> </w:t>
      </w:r>
      <w:r w:rsidR="00122929" w:rsidRPr="00B833CA">
        <w:rPr>
          <w:rFonts w:ascii="Times New Roman" w:hAnsi="Times New Roman" w:cs="Times New Roman"/>
          <w:spacing w:val="-9"/>
          <w:w w:val="115"/>
          <w:u w:val="thick"/>
        </w:rPr>
        <w:t>6</w:t>
      </w:r>
      <w:r w:rsidRPr="00B833CA">
        <w:rPr>
          <w:rFonts w:ascii="Times New Roman" w:hAnsi="Times New Roman" w:cs="Times New Roman"/>
          <w:w w:val="115"/>
          <w:u w:val="thick"/>
        </w:rPr>
        <w:tab/>
      </w:r>
      <w:proofErr w:type="spellStart"/>
      <w:r w:rsidRPr="00B833CA">
        <w:rPr>
          <w:rFonts w:ascii="Times New Roman" w:hAnsi="Times New Roman" w:cs="Times New Roman"/>
          <w:color w:val="FF0000"/>
          <w:w w:val="115"/>
          <w:sz w:val="44"/>
          <w:u w:val="thick"/>
        </w:rPr>
        <w:t>N</w:t>
      </w:r>
      <w:r w:rsidR="00541E39">
        <w:rPr>
          <w:rFonts w:ascii="Times New Roman" w:hAnsi="Times New Roman" w:cs="Times New Roman"/>
          <w:color w:val="FF0000"/>
          <w:w w:val="115"/>
          <w:sz w:val="44"/>
          <w:u w:val="thick"/>
        </w:rPr>
        <w:t>0396</w:t>
      </w:r>
      <w:proofErr w:type="spellEnd"/>
    </w:p>
    <w:p w14:paraId="11619621" w14:textId="77777777" w:rsidR="00CB798F" w:rsidRPr="00B833CA" w:rsidRDefault="00CB798F">
      <w:pPr>
        <w:rPr>
          <w:rFonts w:ascii="Times New Roman" w:hAnsi="Times New Roman" w:cs="Times New Roman"/>
          <w:b/>
          <w:sz w:val="20"/>
        </w:rPr>
      </w:pPr>
    </w:p>
    <w:p w14:paraId="67C93B84" w14:textId="77777777" w:rsidR="00CB798F" w:rsidRPr="00B833CA" w:rsidRDefault="00CB798F">
      <w:pPr>
        <w:rPr>
          <w:rFonts w:ascii="Times New Roman" w:hAnsi="Times New Roman" w:cs="Times New Roman"/>
          <w:b/>
          <w:sz w:val="20"/>
        </w:rPr>
      </w:pPr>
    </w:p>
    <w:p w14:paraId="2DFD1464" w14:textId="77777777" w:rsidR="00CB798F" w:rsidRPr="00B833CA" w:rsidRDefault="00126E7B">
      <w:pPr>
        <w:spacing w:before="3"/>
        <w:rPr>
          <w:rFonts w:ascii="Times New Roman" w:hAnsi="Times New Roman" w:cs="Times New Roman"/>
          <w:b/>
          <w:sz w:val="23"/>
        </w:rPr>
      </w:pPr>
      <w:r w:rsidRPr="00B833C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8241" behindDoc="1" locked="0" layoutInCell="1" allowOverlap="1" wp14:anchorId="7BAF5D12" wp14:editId="119267BD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A27C3A" w14:textId="77777777" w:rsidR="00CB798F" w:rsidRPr="00122929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</w:t>
                            </w:r>
                            <w:proofErr w:type="spellStart"/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JTC</w:t>
                            </w:r>
                            <w:proofErr w:type="spellEnd"/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>29/</w:t>
                            </w:r>
                            <w:proofErr w:type="spellStart"/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>WG</w:t>
                            </w:r>
                            <w:proofErr w:type="spellEnd"/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6</w:t>
                            </w:r>
                          </w:p>
                          <w:p w14:paraId="4C848A3F" w14:textId="2791D866" w:rsidR="00CB798F" w:rsidRDefault="004E45B6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Audio Coding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Convenorship:</w:t>
                            </w:r>
                            <w:r w:rsidR="00FF2653"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B833CA">
                              <w:rPr>
                                <w:b/>
                                <w:w w:val="115"/>
                                <w:sz w:val="23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AF5D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39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" filled="f" strokeweight=".27094mm">
                <v:path arrowok="t"/>
                <v:textbox inset="0,0,0,0">
                  <w:txbxContent>
                    <w:p w14:paraId="38A27C3A" w14:textId="77777777" w:rsidR="00CB798F" w:rsidRPr="00122929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29/WG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6</w:t>
                      </w:r>
                    </w:p>
                    <w:p w14:paraId="4C848A3F" w14:textId="2791D866" w:rsidR="00CB798F" w:rsidRDefault="004E45B6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Audio Coding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 Convenorship:</w:t>
                      </w:r>
                      <w:r w:rsidR="00FF2653" w:rsidRPr="00122929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B833CA">
                        <w:rPr>
                          <w:b/>
                          <w:w w:val="115"/>
                          <w:sz w:val="23"/>
                        </w:rPr>
                        <w:t>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040735" w14:textId="77777777" w:rsidR="00CB798F" w:rsidRPr="00B833CA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2957602" w14:textId="77777777" w:rsidR="00CB798F" w:rsidRPr="00B833CA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ADD314C" w14:textId="761BBFA4" w:rsidR="00CB798F" w:rsidRPr="009359BA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  <w:lang w:val="fr-FR"/>
        </w:rPr>
      </w:pPr>
      <w:r w:rsidRPr="009359BA">
        <w:rPr>
          <w:rFonts w:ascii="Times New Roman" w:hAnsi="Times New Roman" w:cs="Times New Roman"/>
          <w:b/>
          <w:w w:val="120"/>
          <w:sz w:val="24"/>
          <w:szCs w:val="24"/>
          <w:lang w:val="fr-FR"/>
        </w:rPr>
        <w:t>Document</w:t>
      </w:r>
      <w:r w:rsidRPr="009359BA">
        <w:rPr>
          <w:rFonts w:ascii="Times New Roman" w:hAnsi="Times New Roman" w:cs="Times New Roman"/>
          <w:b/>
          <w:spacing w:val="14"/>
          <w:w w:val="120"/>
          <w:sz w:val="24"/>
          <w:szCs w:val="24"/>
          <w:lang w:val="fr-FR"/>
        </w:rPr>
        <w:t xml:space="preserve"> </w:t>
      </w:r>
      <w:proofErr w:type="gramStart"/>
      <w:r w:rsidRPr="009359BA">
        <w:rPr>
          <w:rFonts w:ascii="Times New Roman" w:hAnsi="Times New Roman" w:cs="Times New Roman"/>
          <w:b/>
          <w:w w:val="120"/>
          <w:sz w:val="24"/>
          <w:szCs w:val="24"/>
          <w:lang w:val="fr-FR"/>
        </w:rPr>
        <w:t>type:</w:t>
      </w:r>
      <w:proofErr w:type="gramEnd"/>
      <w:r w:rsidRPr="009359BA">
        <w:rPr>
          <w:rFonts w:ascii="Times New Roman" w:hAnsi="Times New Roman" w:cs="Times New Roman"/>
          <w:b/>
          <w:w w:val="120"/>
          <w:sz w:val="24"/>
          <w:szCs w:val="24"/>
          <w:lang w:val="fr-FR"/>
        </w:rPr>
        <w:tab/>
      </w:r>
      <w:r w:rsidR="00B833CA" w:rsidRPr="009359BA">
        <w:rPr>
          <w:rFonts w:ascii="Times New Roman" w:hAnsi="Times New Roman" w:cs="Times New Roman"/>
          <w:w w:val="120"/>
          <w:sz w:val="24"/>
          <w:szCs w:val="24"/>
          <w:lang w:val="fr-FR"/>
        </w:rPr>
        <w:t>Output Document</w:t>
      </w:r>
    </w:p>
    <w:p w14:paraId="42B91324" w14:textId="77777777" w:rsidR="00CB798F" w:rsidRPr="009359BA" w:rsidRDefault="00CB798F">
      <w:pPr>
        <w:spacing w:before="1"/>
        <w:rPr>
          <w:rFonts w:ascii="Times New Roman" w:hAnsi="Times New Roman" w:cs="Times New Roman"/>
          <w:sz w:val="24"/>
          <w:szCs w:val="24"/>
          <w:lang w:val="fr-FR"/>
        </w:rPr>
      </w:pPr>
    </w:p>
    <w:p w14:paraId="51202086" w14:textId="3E10EF96" w:rsidR="00CB798F" w:rsidRPr="008521E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lang w:val="fr-FR"/>
        </w:rPr>
      </w:pPr>
      <w:proofErr w:type="gramStart"/>
      <w:r w:rsidRPr="009359BA">
        <w:rPr>
          <w:rFonts w:ascii="Times New Roman" w:hAnsi="Times New Roman" w:cs="Times New Roman"/>
          <w:b/>
          <w:w w:val="120"/>
          <w:lang w:val="fr-FR"/>
        </w:rPr>
        <w:t>Title:</w:t>
      </w:r>
      <w:proofErr w:type="gramEnd"/>
      <w:r w:rsidRPr="009359BA">
        <w:rPr>
          <w:rFonts w:ascii="Times New Roman" w:hAnsi="Times New Roman" w:cs="Times New Roman"/>
          <w:b/>
          <w:w w:val="120"/>
          <w:lang w:val="fr-FR"/>
        </w:rPr>
        <w:tab/>
      </w:r>
      <w:proofErr w:type="spellStart"/>
      <w:r w:rsidR="00D13722" w:rsidRPr="008521EB">
        <w:rPr>
          <w:rFonts w:ascii="Times New Roman" w:hAnsi="Times New Roman" w:cs="Times New Roman"/>
          <w:w w:val="120"/>
          <w:lang w:val="fr-FR"/>
        </w:rPr>
        <w:t>Summary</w:t>
      </w:r>
      <w:proofErr w:type="spellEnd"/>
      <w:r w:rsidR="00D13722" w:rsidRPr="008521EB">
        <w:rPr>
          <w:rFonts w:ascii="Times New Roman" w:hAnsi="Times New Roman" w:cs="Times New Roman"/>
          <w:w w:val="120"/>
          <w:lang w:val="fr-FR"/>
        </w:rPr>
        <w:t xml:space="preserve"> of</w:t>
      </w:r>
      <w:r w:rsidR="00D13722" w:rsidRPr="008521EB">
        <w:rPr>
          <w:rFonts w:ascii="Times New Roman" w:hAnsi="Times New Roman" w:cs="Times New Roman"/>
          <w:b/>
          <w:w w:val="120"/>
          <w:lang w:val="fr-FR"/>
        </w:rPr>
        <w:t xml:space="preserve"> </w:t>
      </w:r>
      <w:r w:rsidR="00587C5A" w:rsidRPr="008521EB">
        <w:rPr>
          <w:rFonts w:ascii="Times New Roman" w:hAnsi="Times New Roman" w:cs="Times New Roman"/>
          <w:bCs/>
          <w:w w:val="120"/>
          <w:lang w:val="fr-FR"/>
        </w:rPr>
        <w:t>MPEG-</w:t>
      </w:r>
      <w:r w:rsidR="00587C5A" w:rsidRPr="008521EB">
        <w:rPr>
          <w:rFonts w:ascii="Times New Roman" w:hAnsi="Times New Roman" w:cs="Times New Roman"/>
          <w:w w:val="120"/>
          <w:lang w:val="fr-FR"/>
        </w:rPr>
        <w:t xml:space="preserve">I </w:t>
      </w:r>
      <w:r w:rsidR="003D05EC" w:rsidRPr="008521EB">
        <w:rPr>
          <w:rFonts w:ascii="Times New Roman" w:hAnsi="Times New Roman" w:cs="Times New Roman"/>
          <w:w w:val="120"/>
          <w:lang w:val="fr-FR"/>
        </w:rPr>
        <w:t>i</w:t>
      </w:r>
      <w:r w:rsidR="00587C5A" w:rsidRPr="008521EB">
        <w:rPr>
          <w:rFonts w:ascii="Times New Roman" w:hAnsi="Times New Roman" w:cs="Times New Roman"/>
          <w:w w:val="120"/>
          <w:lang w:val="fr-FR"/>
        </w:rPr>
        <w:t xml:space="preserve">mmersive </w:t>
      </w:r>
      <w:r w:rsidR="003D05EC" w:rsidRPr="008521EB">
        <w:rPr>
          <w:rFonts w:ascii="Times New Roman" w:hAnsi="Times New Roman" w:cs="Times New Roman"/>
          <w:w w:val="120"/>
          <w:lang w:val="fr-FR"/>
        </w:rPr>
        <w:t>a</w:t>
      </w:r>
      <w:r w:rsidR="00587C5A" w:rsidRPr="008521EB">
        <w:rPr>
          <w:rFonts w:ascii="Times New Roman" w:hAnsi="Times New Roman" w:cs="Times New Roman"/>
          <w:w w:val="120"/>
          <w:lang w:val="fr-FR"/>
        </w:rPr>
        <w:t xml:space="preserve">udio </w:t>
      </w:r>
      <w:proofErr w:type="spellStart"/>
      <w:r w:rsidR="003D05EC" w:rsidRPr="008521EB">
        <w:rPr>
          <w:rFonts w:ascii="Times New Roman" w:hAnsi="Times New Roman" w:cs="Times New Roman"/>
          <w:w w:val="120"/>
          <w:lang w:val="fr-FR"/>
        </w:rPr>
        <w:t>v</w:t>
      </w:r>
      <w:r w:rsidR="003C33F8" w:rsidRPr="008521EB">
        <w:rPr>
          <w:rFonts w:ascii="Times New Roman" w:hAnsi="Times New Roman" w:cs="Times New Roman"/>
          <w:w w:val="120"/>
          <w:lang w:val="fr-FR"/>
        </w:rPr>
        <w:t>erification</w:t>
      </w:r>
      <w:proofErr w:type="spellEnd"/>
      <w:r w:rsidR="003C33F8" w:rsidRPr="008521EB">
        <w:rPr>
          <w:rFonts w:ascii="Times New Roman" w:hAnsi="Times New Roman" w:cs="Times New Roman"/>
          <w:w w:val="120"/>
          <w:lang w:val="fr-FR"/>
        </w:rPr>
        <w:t xml:space="preserve"> </w:t>
      </w:r>
      <w:r w:rsidR="003D05EC" w:rsidRPr="008521EB">
        <w:rPr>
          <w:rFonts w:ascii="Times New Roman" w:hAnsi="Times New Roman" w:cs="Times New Roman"/>
          <w:w w:val="120"/>
          <w:lang w:val="fr-FR"/>
        </w:rPr>
        <w:t>t</w:t>
      </w:r>
      <w:r w:rsidR="003C33F8" w:rsidRPr="008521EB">
        <w:rPr>
          <w:rFonts w:ascii="Times New Roman" w:hAnsi="Times New Roman" w:cs="Times New Roman"/>
          <w:w w:val="120"/>
          <w:lang w:val="fr-FR"/>
        </w:rPr>
        <w:t xml:space="preserve">est </w:t>
      </w:r>
      <w:r w:rsidR="003D05EC" w:rsidRPr="008521EB">
        <w:rPr>
          <w:rFonts w:ascii="Times New Roman" w:hAnsi="Times New Roman" w:cs="Times New Roman"/>
          <w:w w:val="120"/>
          <w:lang w:val="fr-FR"/>
        </w:rPr>
        <w:t>r</w:t>
      </w:r>
      <w:r w:rsidR="003C33F8" w:rsidRPr="008521EB">
        <w:rPr>
          <w:rFonts w:ascii="Times New Roman" w:hAnsi="Times New Roman" w:cs="Times New Roman"/>
          <w:w w:val="120"/>
          <w:lang w:val="fr-FR"/>
        </w:rPr>
        <w:t>e</w:t>
      </w:r>
      <w:r w:rsidR="003D05EC" w:rsidRPr="008521EB">
        <w:rPr>
          <w:rFonts w:ascii="Times New Roman" w:hAnsi="Times New Roman" w:cs="Times New Roman"/>
          <w:w w:val="120"/>
          <w:lang w:val="fr-FR"/>
        </w:rPr>
        <w:t>port</w:t>
      </w:r>
    </w:p>
    <w:p w14:paraId="588C835A" w14:textId="77777777" w:rsidR="00CB798F" w:rsidRPr="008521EB" w:rsidRDefault="00CB798F">
      <w:pPr>
        <w:spacing w:before="6"/>
        <w:rPr>
          <w:rFonts w:ascii="Times New Roman" w:hAnsi="Times New Roman" w:cs="Times New Roman"/>
          <w:sz w:val="24"/>
          <w:szCs w:val="24"/>
          <w:lang w:val="fr-FR"/>
        </w:rPr>
      </w:pPr>
    </w:p>
    <w:p w14:paraId="21980943" w14:textId="77777777" w:rsidR="00FF2653" w:rsidRPr="008521E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8521EB">
        <w:rPr>
          <w:rFonts w:ascii="Times New Roman" w:hAnsi="Times New Roman" w:cs="Times New Roman"/>
          <w:b/>
          <w:w w:val="120"/>
        </w:rPr>
        <w:t>Status:</w:t>
      </w:r>
      <w:r w:rsidRPr="008521EB">
        <w:rPr>
          <w:rFonts w:ascii="Times New Roman" w:hAnsi="Times New Roman" w:cs="Times New Roman"/>
          <w:b/>
          <w:w w:val="120"/>
        </w:rPr>
        <w:tab/>
      </w:r>
      <w:r w:rsidR="00B42EB7" w:rsidRPr="008521EB">
        <w:rPr>
          <w:rFonts w:ascii="Times New Roman" w:hAnsi="Times New Roman" w:cs="Times New Roman"/>
          <w:w w:val="120"/>
        </w:rPr>
        <w:t>Approved</w:t>
      </w:r>
    </w:p>
    <w:p w14:paraId="60A80297" w14:textId="77777777" w:rsidR="00FF2653" w:rsidRPr="008521EB" w:rsidRDefault="00FF2653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8783DFD" w14:textId="1796331D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8521EB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8521EB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8521EB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8521EB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8521EB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8521EB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8521EB">
        <w:rPr>
          <w:rFonts w:ascii="Times New Roman" w:hAnsi="Times New Roman" w:cs="Times New Roman"/>
          <w:w w:val="125"/>
          <w:sz w:val="24"/>
          <w:szCs w:val="24"/>
        </w:rPr>
        <w:t>202</w:t>
      </w:r>
      <w:r w:rsidR="003C33F8" w:rsidRPr="008521EB">
        <w:rPr>
          <w:rFonts w:ascii="Times New Roman" w:hAnsi="Times New Roman" w:cs="Times New Roman"/>
          <w:w w:val="125"/>
          <w:sz w:val="24"/>
          <w:szCs w:val="24"/>
        </w:rPr>
        <w:t>6</w:t>
      </w:r>
      <w:r w:rsidRPr="008521EB">
        <w:rPr>
          <w:rFonts w:ascii="Times New Roman" w:hAnsi="Times New Roman" w:cs="Times New Roman"/>
          <w:w w:val="125"/>
          <w:sz w:val="24"/>
          <w:szCs w:val="24"/>
        </w:rPr>
        <w:t>-</w:t>
      </w:r>
      <w:r w:rsidR="00B833CA" w:rsidRPr="008521EB">
        <w:rPr>
          <w:rFonts w:ascii="Times New Roman" w:hAnsi="Times New Roman" w:cs="Times New Roman"/>
          <w:w w:val="125"/>
          <w:sz w:val="24"/>
          <w:szCs w:val="24"/>
        </w:rPr>
        <w:t>0</w:t>
      </w:r>
      <w:r w:rsidR="003C33F8" w:rsidRPr="008521EB">
        <w:rPr>
          <w:rFonts w:ascii="Times New Roman" w:hAnsi="Times New Roman" w:cs="Times New Roman"/>
          <w:w w:val="125"/>
          <w:sz w:val="24"/>
          <w:szCs w:val="24"/>
        </w:rPr>
        <w:t>1</w:t>
      </w:r>
      <w:r w:rsidRPr="008521EB">
        <w:rPr>
          <w:rFonts w:ascii="Times New Roman" w:hAnsi="Times New Roman" w:cs="Times New Roman"/>
          <w:w w:val="125"/>
          <w:sz w:val="24"/>
          <w:szCs w:val="24"/>
        </w:rPr>
        <w:t>-</w:t>
      </w:r>
      <w:r w:rsidR="003C33F8" w:rsidRPr="008521EB">
        <w:rPr>
          <w:rFonts w:ascii="Times New Roman" w:hAnsi="Times New Roman" w:cs="Times New Roman"/>
          <w:w w:val="125"/>
          <w:sz w:val="24"/>
          <w:szCs w:val="24"/>
        </w:rPr>
        <w:t>23</w:t>
      </w:r>
    </w:p>
    <w:p w14:paraId="27EED24D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006A114" w14:textId="4285FD92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Source: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B833CA">
        <w:rPr>
          <w:rFonts w:ascii="Times New Roman" w:hAnsi="Times New Roman" w:cs="Times New Roman"/>
          <w:w w:val="125"/>
          <w:sz w:val="24"/>
          <w:szCs w:val="24"/>
        </w:rPr>
        <w:t xml:space="preserve">ISO/IEC </w:t>
      </w:r>
      <w:proofErr w:type="spellStart"/>
      <w:r w:rsidRPr="00B833CA">
        <w:rPr>
          <w:rFonts w:ascii="Times New Roman" w:hAnsi="Times New Roman" w:cs="Times New Roman"/>
          <w:w w:val="125"/>
          <w:sz w:val="24"/>
          <w:szCs w:val="24"/>
        </w:rPr>
        <w:t>JTC</w:t>
      </w:r>
      <w:proofErr w:type="spellEnd"/>
      <w:r w:rsidRPr="00B833CA">
        <w:rPr>
          <w:rFonts w:ascii="Times New Roman" w:hAnsi="Times New Roman" w:cs="Times New Roman"/>
          <w:w w:val="125"/>
          <w:sz w:val="24"/>
          <w:szCs w:val="24"/>
        </w:rPr>
        <w:t xml:space="preserve"> 1/SC 29/</w:t>
      </w:r>
      <w:proofErr w:type="spellStart"/>
      <w:r w:rsidRPr="00B833CA">
        <w:rPr>
          <w:rFonts w:ascii="Times New Roman" w:hAnsi="Times New Roman" w:cs="Times New Roman"/>
          <w:w w:val="125"/>
          <w:sz w:val="24"/>
          <w:szCs w:val="24"/>
        </w:rPr>
        <w:t>WG</w:t>
      </w:r>
      <w:proofErr w:type="spellEnd"/>
      <w:r w:rsidR="00A85544">
        <w:rPr>
          <w:rFonts w:ascii="Times New Roman" w:hAnsi="Times New Roman" w:cs="Times New Roman"/>
          <w:w w:val="125"/>
          <w:sz w:val="24"/>
          <w:szCs w:val="24"/>
        </w:rPr>
        <w:t xml:space="preserve"> </w:t>
      </w:r>
      <w:r w:rsidR="00122929" w:rsidRPr="00B833CA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695E2C38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CD343C6" w14:textId="77777777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Expected action: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B833CA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2FDBDE32" w14:textId="77777777" w:rsidR="00B42EB7" w:rsidRPr="00B833CA" w:rsidRDefault="00B42EB7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0E7E0C9" w14:textId="77777777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Action due date: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B833CA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7AA73078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AFB674C" w14:textId="3778D36D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B833CA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pages: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E764CA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B833CA" w:rsidRPr="00A85544">
        <w:rPr>
          <w:rFonts w:ascii="Times New Roman" w:hAnsi="Times New Roman" w:cs="Times New Roman"/>
          <w:snapToGrid w:val="0"/>
          <w:sz w:val="24"/>
          <w:szCs w:val="24"/>
        </w:rPr>
        <w:t xml:space="preserve"> (without cover</w:t>
      </w:r>
      <w:r w:rsidR="00B833CA" w:rsidRPr="00A85544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="00B833CA" w:rsidRPr="00A85544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19B6CA9E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487DA8E" w14:textId="5F046E50" w:rsidR="00FF2653" w:rsidRPr="00B833CA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B833CA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Convenor: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proofErr w:type="spellStart"/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Thomas.Sporer</w:t>
      </w:r>
      <w:r w:rsidRPr="00B833CA">
        <w:rPr>
          <w:rFonts w:ascii="Times New Roman" w:hAnsi="Times New Roman" w:cs="Times New Roman"/>
          <w:w w:val="120"/>
          <w:sz w:val="24"/>
          <w:szCs w:val="24"/>
        </w:rPr>
        <w:t>@</w:t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idmt.fraunhofer.de</w:t>
      </w:r>
      <w:proofErr w:type="spellEnd"/>
    </w:p>
    <w:p w14:paraId="3AD8342E" w14:textId="77777777" w:rsidR="00CB798F" w:rsidRPr="00B833CA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1356A434" w14:textId="4454037B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B833CA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hyperlink r:id="rId12" w:history="1">
        <w:r w:rsidR="00B833CA" w:rsidRPr="00B833CA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https://</w:t>
        </w:r>
        <w:proofErr w:type="spellStart"/>
        <w:r w:rsidR="00B833CA" w:rsidRPr="00B833CA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isotc.iso.org</w:t>
        </w:r>
        <w:proofErr w:type="spellEnd"/>
        <w:r w:rsidR="00B833CA" w:rsidRPr="00B833CA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/</w:t>
        </w:r>
        <w:proofErr w:type="spellStart"/>
        <w:r w:rsidR="00B833CA" w:rsidRPr="00B833CA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livelink</w:t>
        </w:r>
        <w:proofErr w:type="spellEnd"/>
        <w:r w:rsidR="00B833CA" w:rsidRPr="00B833CA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/</w:t>
        </w:r>
        <w:proofErr w:type="spellStart"/>
        <w:r w:rsidR="00B833CA" w:rsidRPr="00B833CA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livelink</w:t>
        </w:r>
        <w:proofErr w:type="spellEnd"/>
        <w:r w:rsidR="00B833CA" w:rsidRPr="00B833CA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/open/</w:t>
        </w:r>
        <w:proofErr w:type="spellStart"/>
        <w:r w:rsidR="00B833CA" w:rsidRPr="00B833CA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jtc1sc29wg6</w:t>
        </w:r>
        <w:proofErr w:type="spellEnd"/>
      </w:hyperlink>
    </w:p>
    <w:p w14:paraId="1472EE0D" w14:textId="77777777" w:rsidR="00B833CA" w:rsidRPr="00B833CA" w:rsidRDefault="00B833CA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7DE60A0C" w14:textId="77777777" w:rsidR="00F03F9B" w:rsidRPr="00B833CA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D1C602C" w14:textId="4AE61D1B" w:rsidR="00F03F9B" w:rsidRPr="00B833CA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8F767FA" w14:textId="77777777" w:rsidR="00B833CA" w:rsidRPr="00B833CA" w:rsidRDefault="00B833CA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4A274E4" w14:textId="77777777" w:rsidR="00F03F9B" w:rsidRPr="00B833CA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  <w:sectPr w:rsidR="00F03F9B" w:rsidRPr="00B833CA" w:rsidSect="00AF3B4A">
          <w:footerReference w:type="default" r:id="rId13"/>
          <w:type w:val="continuous"/>
          <w:pgSz w:w="11900" w:h="16840"/>
          <w:pgMar w:top="540" w:right="820" w:bottom="280" w:left="1000" w:header="720" w:footer="720" w:gutter="0"/>
          <w:cols w:space="720"/>
        </w:sectPr>
      </w:pPr>
    </w:p>
    <w:p w14:paraId="276B20E0" w14:textId="77777777" w:rsidR="00FB55AC" w:rsidRPr="009359BA" w:rsidRDefault="00FB55AC" w:rsidP="00FB55AC">
      <w:pPr>
        <w:jc w:val="center"/>
        <w:rPr>
          <w:b/>
          <w:sz w:val="28"/>
          <w:szCs w:val="28"/>
          <w:lang w:val="fr-FR"/>
        </w:rPr>
      </w:pPr>
      <w:r w:rsidRPr="009359BA">
        <w:rPr>
          <w:b/>
          <w:sz w:val="28"/>
          <w:szCs w:val="28"/>
          <w:lang w:val="fr-FR"/>
        </w:rPr>
        <w:lastRenderedPageBreak/>
        <w:t>INTERNATIONAL ORGANISATION FOR STANDARDISATION</w:t>
      </w:r>
    </w:p>
    <w:p w14:paraId="53D9073E" w14:textId="77777777" w:rsidR="00FB55AC" w:rsidRPr="009359BA" w:rsidRDefault="00FB55AC" w:rsidP="00FB55AC">
      <w:pPr>
        <w:jc w:val="center"/>
        <w:rPr>
          <w:b/>
          <w:sz w:val="28"/>
          <w:lang w:val="fr-FR"/>
        </w:rPr>
      </w:pPr>
      <w:r w:rsidRPr="009359BA">
        <w:rPr>
          <w:b/>
          <w:sz w:val="28"/>
          <w:lang w:val="fr-FR"/>
        </w:rPr>
        <w:t>ORGANISATION INTERNATIONALE DE NORMALISATION</w:t>
      </w:r>
    </w:p>
    <w:p w14:paraId="2D7EAA58" w14:textId="4F532479" w:rsidR="00A85544" w:rsidRPr="009359BA" w:rsidRDefault="00FB55AC" w:rsidP="00FB55AC">
      <w:pPr>
        <w:jc w:val="center"/>
        <w:rPr>
          <w:b/>
          <w:sz w:val="28"/>
          <w:lang w:val="fr-FR"/>
        </w:rPr>
      </w:pPr>
      <w:r w:rsidRPr="009359BA">
        <w:rPr>
          <w:b/>
          <w:sz w:val="28"/>
          <w:lang w:val="fr-FR"/>
        </w:rPr>
        <w:t xml:space="preserve">ISO/IEC </w:t>
      </w:r>
      <w:proofErr w:type="spellStart"/>
      <w:r w:rsidRPr="009359BA">
        <w:rPr>
          <w:b/>
          <w:sz w:val="28"/>
          <w:lang w:val="fr-FR"/>
        </w:rPr>
        <w:t>JTC</w:t>
      </w:r>
      <w:proofErr w:type="spellEnd"/>
      <w:r w:rsidR="00A85544" w:rsidRPr="009359BA">
        <w:rPr>
          <w:b/>
          <w:sz w:val="28"/>
          <w:lang w:val="fr-FR"/>
        </w:rPr>
        <w:t xml:space="preserve"> </w:t>
      </w:r>
      <w:r w:rsidRPr="009359BA">
        <w:rPr>
          <w:b/>
          <w:sz w:val="28"/>
          <w:lang w:val="fr-FR"/>
        </w:rPr>
        <w:t>1/SC</w:t>
      </w:r>
      <w:r w:rsidR="00A85544" w:rsidRPr="009359BA">
        <w:rPr>
          <w:b/>
          <w:sz w:val="28"/>
          <w:lang w:val="fr-FR"/>
        </w:rPr>
        <w:t xml:space="preserve"> </w:t>
      </w:r>
      <w:r w:rsidRPr="009359BA">
        <w:rPr>
          <w:b/>
          <w:sz w:val="28"/>
          <w:lang w:val="fr-FR"/>
        </w:rPr>
        <w:t>29/</w:t>
      </w:r>
      <w:proofErr w:type="spellStart"/>
      <w:r w:rsidRPr="009359BA">
        <w:rPr>
          <w:b/>
          <w:sz w:val="28"/>
          <w:lang w:val="fr-FR"/>
        </w:rPr>
        <w:t>WG</w:t>
      </w:r>
      <w:proofErr w:type="spellEnd"/>
      <w:r w:rsidR="00A85544" w:rsidRPr="009359BA">
        <w:rPr>
          <w:b/>
          <w:sz w:val="28"/>
          <w:lang w:val="fr-FR"/>
        </w:rPr>
        <w:t xml:space="preserve"> </w:t>
      </w:r>
      <w:r w:rsidRPr="009359BA">
        <w:rPr>
          <w:b/>
          <w:sz w:val="28"/>
          <w:lang w:val="fr-FR"/>
        </w:rPr>
        <w:t>6</w:t>
      </w:r>
    </w:p>
    <w:p w14:paraId="47F7B582" w14:textId="0ED571E2" w:rsidR="00FB55AC" w:rsidRPr="009359BA" w:rsidRDefault="0040419C" w:rsidP="00FB55AC">
      <w:pPr>
        <w:jc w:val="center"/>
        <w:rPr>
          <w:b/>
          <w:lang w:val="fr-FR"/>
        </w:rPr>
      </w:pPr>
      <w:r w:rsidRPr="009359BA">
        <w:rPr>
          <w:b/>
          <w:sz w:val="28"/>
          <w:lang w:val="fr-FR"/>
        </w:rPr>
        <w:t>MPEG AUDIO CODING</w:t>
      </w:r>
    </w:p>
    <w:p w14:paraId="04FB09DB" w14:textId="77777777" w:rsidR="00FB55AC" w:rsidRPr="009359BA" w:rsidRDefault="00FB55AC" w:rsidP="00FB55AC">
      <w:pPr>
        <w:tabs>
          <w:tab w:val="left" w:pos="5387"/>
        </w:tabs>
        <w:spacing w:line="240" w:lineRule="exact"/>
        <w:jc w:val="center"/>
        <w:rPr>
          <w:b/>
          <w:lang w:val="fr-FR"/>
        </w:rPr>
      </w:pPr>
    </w:p>
    <w:p w14:paraId="2DB5D0EE" w14:textId="0DE44333" w:rsidR="00FB55AC" w:rsidRPr="009359BA" w:rsidRDefault="00FB55AC" w:rsidP="00FB55AC">
      <w:pPr>
        <w:jc w:val="right"/>
        <w:rPr>
          <w:b/>
          <w:lang w:val="fr-FR"/>
        </w:rPr>
      </w:pPr>
      <w:r w:rsidRPr="009359BA">
        <w:rPr>
          <w:b/>
          <w:lang w:val="fr-FR"/>
        </w:rPr>
        <w:t xml:space="preserve">ISO/IEC </w:t>
      </w:r>
      <w:proofErr w:type="spellStart"/>
      <w:r w:rsidRPr="009359BA">
        <w:rPr>
          <w:b/>
          <w:lang w:val="fr-FR"/>
        </w:rPr>
        <w:t>JTC</w:t>
      </w:r>
      <w:proofErr w:type="spellEnd"/>
      <w:r w:rsidR="00A85544" w:rsidRPr="009359BA">
        <w:rPr>
          <w:b/>
          <w:lang w:val="fr-FR"/>
        </w:rPr>
        <w:t xml:space="preserve"> </w:t>
      </w:r>
      <w:r w:rsidRPr="009359BA">
        <w:rPr>
          <w:b/>
          <w:lang w:val="fr-FR"/>
        </w:rPr>
        <w:t>1/SC</w:t>
      </w:r>
      <w:r w:rsidR="00A85544" w:rsidRPr="009359BA">
        <w:rPr>
          <w:b/>
          <w:lang w:val="fr-FR"/>
        </w:rPr>
        <w:t xml:space="preserve"> </w:t>
      </w:r>
      <w:r w:rsidRPr="009359BA">
        <w:rPr>
          <w:b/>
          <w:lang w:val="fr-FR"/>
        </w:rPr>
        <w:t>29/</w:t>
      </w:r>
      <w:proofErr w:type="spellStart"/>
      <w:r w:rsidRPr="009359BA">
        <w:rPr>
          <w:b/>
          <w:lang w:val="fr-FR"/>
        </w:rPr>
        <w:t>WG</w:t>
      </w:r>
      <w:proofErr w:type="spellEnd"/>
      <w:r w:rsidR="00A85544" w:rsidRPr="009359BA">
        <w:rPr>
          <w:b/>
          <w:lang w:val="fr-FR"/>
        </w:rPr>
        <w:t xml:space="preserve"> </w:t>
      </w:r>
      <w:r w:rsidRPr="009359BA">
        <w:rPr>
          <w:b/>
          <w:lang w:val="fr-FR"/>
        </w:rPr>
        <w:t xml:space="preserve">6 </w:t>
      </w:r>
      <w:proofErr w:type="spellStart"/>
      <w:r w:rsidR="0040419C" w:rsidRPr="009359BA">
        <w:rPr>
          <w:b/>
          <w:color w:val="FF0000"/>
          <w:lang w:val="fr-FR"/>
        </w:rPr>
        <w:t>N</w:t>
      </w:r>
      <w:r w:rsidR="004B0C57">
        <w:rPr>
          <w:b/>
          <w:color w:val="FF0000"/>
          <w:lang w:val="fr-FR"/>
        </w:rPr>
        <w:t>0396</w:t>
      </w:r>
      <w:proofErr w:type="spellEnd"/>
    </w:p>
    <w:p w14:paraId="331D010B" w14:textId="5578D074" w:rsidR="00FB55AC" w:rsidRPr="00B833CA" w:rsidRDefault="009359BA" w:rsidP="00FB55AC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J</w:t>
      </w:r>
      <w:r w:rsidR="003C33F8">
        <w:rPr>
          <w:b/>
          <w:lang w:eastAsia="ja-JP"/>
        </w:rPr>
        <w:t>anuary</w:t>
      </w:r>
      <w:r w:rsidR="00FB55AC" w:rsidRPr="00B833CA">
        <w:rPr>
          <w:b/>
          <w:lang w:eastAsia="ja-JP"/>
        </w:rPr>
        <w:t xml:space="preserve"> 202</w:t>
      </w:r>
      <w:r w:rsidR="003C33F8">
        <w:rPr>
          <w:b/>
          <w:lang w:eastAsia="ja-JP"/>
        </w:rPr>
        <w:t>6</w:t>
      </w:r>
      <w:r w:rsidR="00FB55AC" w:rsidRPr="00B833CA">
        <w:rPr>
          <w:b/>
          <w:lang w:eastAsia="ja-JP"/>
        </w:rPr>
        <w:t xml:space="preserve">, </w:t>
      </w:r>
      <w:r w:rsidR="003C33F8">
        <w:rPr>
          <w:b/>
          <w:lang w:eastAsia="ja-JP"/>
        </w:rPr>
        <w:t>Online</w:t>
      </w:r>
    </w:p>
    <w:p w14:paraId="7ABDE0E1" w14:textId="77777777" w:rsidR="00FB55AC" w:rsidRPr="00B833CA" w:rsidRDefault="00FB55AC" w:rsidP="00FB55AC">
      <w:pPr>
        <w:wordWrap w:val="0"/>
        <w:jc w:val="right"/>
        <w:rPr>
          <w:b/>
          <w:lang w:eastAsia="ja-JP"/>
        </w:rPr>
      </w:pPr>
    </w:p>
    <w:p w14:paraId="6169086E" w14:textId="77777777" w:rsidR="00FB55AC" w:rsidRPr="00B833CA" w:rsidRDefault="00FB55AC" w:rsidP="00FB55AC">
      <w:pPr>
        <w:jc w:val="right"/>
        <w:rPr>
          <w:b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43"/>
        <w:gridCol w:w="7512"/>
      </w:tblGrid>
      <w:tr w:rsidR="00FB55AC" w:rsidRPr="00B833CA" w14:paraId="34DD2156" w14:textId="77777777" w:rsidTr="00A85544">
        <w:tc>
          <w:tcPr>
            <w:tcW w:w="1843" w:type="dxa"/>
          </w:tcPr>
          <w:p w14:paraId="157544FF" w14:textId="77777777" w:rsidR="00FB55AC" w:rsidRPr="00B833CA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512" w:type="dxa"/>
          </w:tcPr>
          <w:p w14:paraId="4EE4A6BB" w14:textId="4246808F" w:rsidR="00FB55AC" w:rsidRPr="008521EB" w:rsidRDefault="004B0C57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Summary of </w:t>
            </w:r>
            <w:r w:rsidR="00587C5A" w:rsidRPr="00852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MPEG-I </w:t>
            </w:r>
            <w:r w:rsidR="003D05EC" w:rsidRPr="008521EB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587C5A" w:rsidRPr="00852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mmersive </w:t>
            </w:r>
            <w:r w:rsidR="003D05EC" w:rsidRPr="008521EB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587C5A" w:rsidRPr="00852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udio </w:t>
            </w:r>
            <w:r w:rsidR="003D05EC" w:rsidRPr="008521EB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="003C33F8" w:rsidRPr="00852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erification </w:t>
            </w:r>
            <w:r w:rsidR="003D05EC" w:rsidRPr="008521EB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="003C33F8" w:rsidRPr="00852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est </w:t>
            </w:r>
            <w:r w:rsidR="003D05EC" w:rsidRPr="008521EB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="003C33F8" w:rsidRPr="008521EB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8521EB">
              <w:rPr>
                <w:rFonts w:ascii="Times New Roman" w:hAnsi="Times New Roman" w:cs="Times New Roman"/>
                <w:b/>
                <w:sz w:val="24"/>
                <w:szCs w:val="24"/>
              </w:rPr>
              <w:t>port</w:t>
            </w:r>
          </w:p>
        </w:tc>
      </w:tr>
      <w:tr w:rsidR="00FB55AC" w:rsidRPr="00B833CA" w14:paraId="08F7CED0" w14:textId="77777777" w:rsidTr="00A85544">
        <w:tc>
          <w:tcPr>
            <w:tcW w:w="1843" w:type="dxa"/>
          </w:tcPr>
          <w:p w14:paraId="2254AC12" w14:textId="77777777" w:rsidR="00FB55AC" w:rsidRPr="00B833CA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512" w:type="dxa"/>
          </w:tcPr>
          <w:p w14:paraId="255A017D" w14:textId="77777777" w:rsidR="00FB55AC" w:rsidRPr="008521EB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521EB">
              <w:rPr>
                <w:rFonts w:ascii="Times New Roman" w:hAnsi="Times New Roman" w:cs="Times New Roman"/>
                <w:b/>
                <w:sz w:val="24"/>
                <w:szCs w:val="24"/>
              </w:rPr>
              <w:t>WG</w:t>
            </w:r>
            <w:proofErr w:type="spellEnd"/>
            <w:r w:rsidR="003F2E48" w:rsidRPr="00852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521EB">
              <w:rPr>
                <w:rFonts w:ascii="Times New Roman" w:hAnsi="Times New Roman" w:cs="Times New Roman"/>
                <w:b/>
                <w:sz w:val="24"/>
                <w:szCs w:val="24"/>
              </w:rPr>
              <w:t>6, MPEG Audio Coding</w:t>
            </w:r>
          </w:p>
        </w:tc>
      </w:tr>
      <w:tr w:rsidR="00A85544" w:rsidRPr="00B833CA" w14:paraId="66A6A329" w14:textId="77777777" w:rsidTr="00A85544">
        <w:tc>
          <w:tcPr>
            <w:tcW w:w="1843" w:type="dxa"/>
          </w:tcPr>
          <w:p w14:paraId="4A95C16D" w14:textId="57AC3577" w:rsidR="00A85544" w:rsidRPr="00B833CA" w:rsidRDefault="00A85544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Editors</w:t>
            </w:r>
          </w:p>
        </w:tc>
        <w:tc>
          <w:tcPr>
            <w:tcW w:w="7512" w:type="dxa"/>
          </w:tcPr>
          <w:p w14:paraId="6E2A4504" w14:textId="3A1721E1" w:rsidR="003C33F8" w:rsidRPr="008521EB" w:rsidRDefault="008521EB" w:rsidP="003C33F8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Andreas Silzle, </w:t>
            </w:r>
            <w:r w:rsidR="004B0C57" w:rsidRPr="008521EB">
              <w:rPr>
                <w:rFonts w:ascii="Times New Roman" w:hAnsi="Times New Roman" w:cs="Times New Roman"/>
                <w:b/>
                <w:sz w:val="24"/>
                <w:szCs w:val="24"/>
              </w:rPr>
              <w:t>Pablo M. Delgado, Sascha Disch, Alejandro Restrepo Garcia, Leon Terentiv, Erlendur Karlsson, Jussi Leppanen, Hiroyuki Ehara, Sam Jelfs</w:t>
            </w:r>
          </w:p>
        </w:tc>
      </w:tr>
      <w:tr w:rsidR="00B833CA" w:rsidRPr="00B833CA" w14:paraId="42425A37" w14:textId="77777777" w:rsidTr="00A85544">
        <w:tc>
          <w:tcPr>
            <w:tcW w:w="1843" w:type="dxa"/>
          </w:tcPr>
          <w:p w14:paraId="56C112AA" w14:textId="6E9A1AB1" w:rsidR="00B833CA" w:rsidRPr="00B833CA" w:rsidRDefault="00B833CA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7512" w:type="dxa"/>
          </w:tcPr>
          <w:p w14:paraId="47F5F845" w14:textId="50A7D3D4" w:rsidR="00B833CA" w:rsidRPr="008521EB" w:rsidRDefault="004B0C57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1EB">
              <w:rPr>
                <w:rFonts w:ascii="Times New Roman" w:hAnsi="Times New Roman" w:cs="Times New Roman"/>
                <w:b/>
                <w:sz w:val="24"/>
                <w:szCs w:val="24"/>
              </w:rPr>
              <w:t>25970</w:t>
            </w:r>
          </w:p>
        </w:tc>
      </w:tr>
    </w:tbl>
    <w:p w14:paraId="5E0AE769" w14:textId="77777777" w:rsidR="0040419C" w:rsidRPr="00B833CA" w:rsidRDefault="0040419C" w:rsidP="0040419C"/>
    <w:p w14:paraId="69B44EC0" w14:textId="70B0C931" w:rsidR="00A85544" w:rsidRDefault="00A85544" w:rsidP="004B0C57">
      <w:pPr>
        <w:pStyle w:val="Heading1"/>
        <w:spacing w:before="180" w:after="60"/>
        <w:ind w:left="431" w:hanging="431"/>
        <w:jc w:val="both"/>
      </w:pPr>
      <w:r>
        <w:t>Abstract</w:t>
      </w:r>
    </w:p>
    <w:p w14:paraId="1715040E" w14:textId="29B34454" w:rsidR="00A85544" w:rsidRDefault="004B0C57" w:rsidP="004B0C57">
      <w:pPr>
        <w:jc w:val="both"/>
      </w:pPr>
      <w:r w:rsidRPr="004B0C57">
        <w:t>The verification test evaluated the perceptual quality of the finalized international standard (IS) of the MPEG</w:t>
      </w:r>
      <w:r w:rsidRPr="004B0C57">
        <w:rPr>
          <w:rFonts w:ascii="Cambria Math" w:hAnsi="Cambria Math" w:cs="Cambria Math"/>
        </w:rPr>
        <w:t>‑</w:t>
      </w:r>
      <w:r w:rsidRPr="004B0C57">
        <w:t>I immersive audio renderer</w:t>
      </w:r>
      <w:r w:rsidR="003654A1">
        <w:t xml:space="preserve"> </w:t>
      </w:r>
      <w:r w:rsidR="003654A1">
        <w:fldChar w:fldCharType="begin"/>
      </w:r>
      <w:r w:rsidR="003654A1">
        <w:instrText xml:space="preserve"> REF _Ref219980114 \r \h </w:instrText>
      </w:r>
      <w:r w:rsidR="003654A1">
        <w:fldChar w:fldCharType="separate"/>
      </w:r>
      <w:r w:rsidR="003654A1">
        <w:t>[3]</w:t>
      </w:r>
      <w:r w:rsidR="003654A1">
        <w:fldChar w:fldCharType="end"/>
      </w:r>
      <w:r w:rsidR="003654A1">
        <w:fldChar w:fldCharType="begin"/>
      </w:r>
      <w:r w:rsidR="003654A1">
        <w:instrText xml:space="preserve"> REF _Ref219990635 \r \h </w:instrText>
      </w:r>
      <w:r w:rsidR="003654A1">
        <w:fldChar w:fldCharType="separate"/>
      </w:r>
      <w:r w:rsidR="003654A1">
        <w:t>[4]</w:t>
      </w:r>
      <w:r w:rsidR="003654A1">
        <w:fldChar w:fldCharType="end"/>
      </w:r>
      <w:r w:rsidRPr="004B0C57">
        <w:t xml:space="preserve"> with expert listeners across six labs using an ITU</w:t>
      </w:r>
      <w:r w:rsidRPr="004B0C57">
        <w:rPr>
          <w:rFonts w:ascii="Cambria Math" w:hAnsi="Cambria Math" w:cs="Cambria Math"/>
        </w:rPr>
        <w:t>‑</w:t>
      </w:r>
      <w:r w:rsidRPr="004B0C57">
        <w:t xml:space="preserve">R </w:t>
      </w:r>
      <w:proofErr w:type="spellStart"/>
      <w:r w:rsidRPr="004B0C57">
        <w:t>BS.2132</w:t>
      </w:r>
      <w:proofErr w:type="spellEnd"/>
      <w:r w:rsidRPr="004B0C57">
        <w:t xml:space="preserve"> </w:t>
      </w:r>
      <w:r>
        <w:fldChar w:fldCharType="begin"/>
      </w:r>
      <w:r>
        <w:instrText xml:space="preserve"> REF _Ref219979529 \r \h </w:instrText>
      </w:r>
      <w:r>
        <w:fldChar w:fldCharType="separate"/>
      </w:r>
      <w:r w:rsidR="003654A1">
        <w:t>[1]</w:t>
      </w:r>
      <w:r>
        <w:fldChar w:fldCharType="end"/>
      </w:r>
      <w:r w:rsidRPr="004B0C57">
        <w:t xml:space="preserve"> multi</w:t>
      </w:r>
      <w:r w:rsidRPr="004B0C57">
        <w:rPr>
          <w:rFonts w:ascii="Cambria Math" w:hAnsi="Cambria Math" w:cs="Cambria Math"/>
        </w:rPr>
        <w:t>‑</w:t>
      </w:r>
      <w:r w:rsidRPr="004B0C57">
        <w:t>stimulus method on a 100</w:t>
      </w:r>
      <w:r w:rsidRPr="004B0C57">
        <w:rPr>
          <w:rFonts w:ascii="Cambria Math" w:hAnsi="Cambria Math" w:cs="Cambria Math"/>
        </w:rPr>
        <w:t>‑</w:t>
      </w:r>
      <w:r w:rsidRPr="004B0C57">
        <w:t>point scale for three conditions (IS, mid anchor, low anchor) in 10 virtual reality (VR) scenes plus two repetitions. Results showed a clear</w:t>
      </w:r>
      <w:r w:rsidR="00367936">
        <w:t xml:space="preserve"> </w:t>
      </w:r>
      <w:r w:rsidRPr="004B0C57">
        <w:t>separation</w:t>
      </w:r>
      <w:r w:rsidR="000F0C35">
        <w:t xml:space="preserve"> of the conditions</w:t>
      </w:r>
      <w:r w:rsidRPr="004B0C57">
        <w:t xml:space="preserve"> (IS &gt; mid &gt; low); the low anchor was stable (~16 points) while the mid anchor varied by scene (around 47 points). The IS was rated with a median of 84 points among all labs, which is the “excellent” region of the scale. The ratings showed some scene dependency. The rating variance for some scenes </w:t>
      </w:r>
      <w:r w:rsidR="000678EF">
        <w:t>reached</w:t>
      </w:r>
      <w:r w:rsidRPr="004B0C57">
        <w:t xml:space="preserve"> ~20 points. Repetition analysis indicated good listener consistency. Across all six labs, rankings were consistent, but absolute IS median scores differed </w:t>
      </w:r>
      <w:r w:rsidR="000667F5">
        <w:t>slightly</w:t>
      </w:r>
      <w:r w:rsidRPr="004B0C57">
        <w:t>.</w:t>
      </w:r>
    </w:p>
    <w:p w14:paraId="65B84878" w14:textId="77777777" w:rsidR="003C33F8" w:rsidRPr="004F6FA4" w:rsidRDefault="003C33F8" w:rsidP="003C33F8">
      <w:pPr>
        <w:pStyle w:val="Heading1"/>
        <w:spacing w:before="180" w:after="60"/>
        <w:ind w:left="431" w:hanging="431"/>
        <w:jc w:val="both"/>
      </w:pPr>
      <w:r w:rsidRPr="004F6FA4">
        <w:t>Overview</w:t>
      </w:r>
    </w:p>
    <w:p w14:paraId="5FAD31BC" w14:textId="0310A19D" w:rsidR="003C33F8" w:rsidRPr="00601A10" w:rsidRDefault="004B0C57" w:rsidP="004B0C57">
      <w:pPr>
        <w:spacing w:after="120"/>
        <w:jc w:val="both"/>
      </w:pPr>
      <w:bookmarkStart w:id="0" w:name="_Hlk200118039"/>
      <w:r>
        <w:t xml:space="preserve">A verification test plan was agreed upon </w:t>
      </w:r>
      <w:r w:rsidRPr="00044499">
        <w:t>for a subjective evaluation of the performance of the MPEG-I immersive audio rendere</w:t>
      </w:r>
      <w:r>
        <w:t>r.</w:t>
      </w:r>
      <w:r w:rsidR="00367936">
        <w:t xml:space="preserve"> </w:t>
      </w:r>
      <w:r w:rsidRPr="004F6FA4">
        <w:t>This document reports and discusses the results; the individual results obtained by</w:t>
      </w:r>
      <w:r>
        <w:t xml:space="preserve"> each test site (Dolby, Ericsson, </w:t>
      </w:r>
      <w:r w:rsidRPr="0055283F">
        <w:t xml:space="preserve">Fraunhofer, </w:t>
      </w:r>
      <w:r>
        <w:t>Nokia</w:t>
      </w:r>
      <w:r w:rsidRPr="0055283F">
        <w:t xml:space="preserve">, </w:t>
      </w:r>
      <w:r>
        <w:t xml:space="preserve">Panasonic, </w:t>
      </w:r>
      <w:r w:rsidRPr="0055283F">
        <w:t xml:space="preserve">and </w:t>
      </w:r>
      <w:r>
        <w:t>Philips),</w:t>
      </w:r>
      <w:r w:rsidRPr="0055283F">
        <w:t xml:space="preserve"> and their respective statistical analysis</w:t>
      </w:r>
      <w:r>
        <w:t>.</w:t>
      </w:r>
    </w:p>
    <w:p w14:paraId="3DBF44DA" w14:textId="77777777" w:rsidR="003C33F8" w:rsidRDefault="003C33F8" w:rsidP="003C33F8">
      <w:pPr>
        <w:pStyle w:val="Heading1"/>
        <w:spacing w:before="180" w:after="60"/>
        <w:ind w:left="431" w:hanging="431"/>
        <w:jc w:val="both"/>
      </w:pPr>
      <w:r>
        <w:t>Background</w:t>
      </w:r>
    </w:p>
    <w:bookmarkEnd w:id="0"/>
    <w:p w14:paraId="6DC13A88" w14:textId="52B40021" w:rsidR="003C33F8" w:rsidRDefault="003C33F8" w:rsidP="003C33F8">
      <w:pPr>
        <w:jc w:val="both"/>
      </w:pPr>
      <w:r>
        <w:t>This section presents a summary of the important aspects agreed upon</w:t>
      </w:r>
      <w:r w:rsidR="004B0C57">
        <w:t>.</w:t>
      </w:r>
      <w:r>
        <w:t xml:space="preserve"> </w:t>
      </w:r>
    </w:p>
    <w:p w14:paraId="28EF5D5B" w14:textId="77777777" w:rsidR="003C33F8" w:rsidRPr="00EE5116" w:rsidRDefault="003C33F8" w:rsidP="00EE5116">
      <w:pPr>
        <w:pStyle w:val="Heading2"/>
        <w:spacing w:before="120" w:after="60"/>
        <w:ind w:left="578" w:hanging="578"/>
        <w:rPr>
          <w:rFonts w:ascii="Arial" w:hAnsi="Arial" w:cs="Arial"/>
          <w:color w:val="000000" w:themeColor="text1"/>
          <w:sz w:val="24"/>
          <w:szCs w:val="24"/>
        </w:rPr>
      </w:pPr>
      <w:r w:rsidRPr="00EE5116">
        <w:rPr>
          <w:rFonts w:ascii="Arial" w:hAnsi="Arial" w:cs="Arial"/>
          <w:color w:val="000000" w:themeColor="text1"/>
          <w:sz w:val="24"/>
          <w:szCs w:val="24"/>
        </w:rPr>
        <w:t xml:space="preserve">Test Method </w:t>
      </w:r>
    </w:p>
    <w:p w14:paraId="01DD3FE8" w14:textId="77777777" w:rsidR="003C33F8" w:rsidRDefault="003C33F8" w:rsidP="003C33F8">
      <w:pPr>
        <w:jc w:val="both"/>
      </w:pPr>
      <w:r>
        <w:t>The following test method was applied:</w:t>
      </w:r>
    </w:p>
    <w:p w14:paraId="1FE96493" w14:textId="64206A19" w:rsidR="003C33F8" w:rsidRPr="009B460C" w:rsidRDefault="003C33F8" w:rsidP="003C33F8">
      <w:pPr>
        <w:pStyle w:val="ListParagraph"/>
        <w:widowControl/>
        <w:numPr>
          <w:ilvl w:val="0"/>
          <w:numId w:val="19"/>
        </w:numPr>
        <w:overflowPunct w:val="0"/>
        <w:adjustRightInd w:val="0"/>
        <w:contextualSpacing/>
        <w:jc w:val="both"/>
        <w:textAlignment w:val="baseline"/>
      </w:pPr>
      <w:r w:rsidRPr="009B460C">
        <w:t xml:space="preserve">Multi-stimulus test ITU-R Rec. </w:t>
      </w:r>
      <w:proofErr w:type="spellStart"/>
      <w:r w:rsidRPr="009B460C">
        <w:t>BS</w:t>
      </w:r>
      <w:r w:rsidR="000673DB">
        <w:t>.</w:t>
      </w:r>
      <w:r w:rsidRPr="009B460C">
        <w:t>2132</w:t>
      </w:r>
      <w:proofErr w:type="spellEnd"/>
      <w:r w:rsidRPr="009B460C">
        <w:t xml:space="preserve">-0 </w:t>
      </w:r>
      <w:r w:rsidR="004B0C57">
        <w:fldChar w:fldCharType="begin"/>
      </w:r>
      <w:r w:rsidR="004B0C57">
        <w:instrText xml:space="preserve"> REF _Ref219979529 \r \h </w:instrText>
      </w:r>
      <w:r w:rsidR="004B0C57">
        <w:fldChar w:fldCharType="separate"/>
      </w:r>
      <w:r w:rsidR="003654A1">
        <w:t>[1]</w:t>
      </w:r>
      <w:r w:rsidR="004B0C57">
        <w:fldChar w:fldCharType="end"/>
      </w:r>
      <w:r w:rsidRPr="009B460C">
        <w:t xml:space="preserve"> and </w:t>
      </w:r>
      <w:proofErr w:type="spellStart"/>
      <w:r w:rsidRPr="009B460C">
        <w:t>BS</w:t>
      </w:r>
      <w:r w:rsidR="000673DB">
        <w:t>.</w:t>
      </w:r>
      <w:r w:rsidRPr="009B460C">
        <w:t>1284</w:t>
      </w:r>
      <w:proofErr w:type="spellEnd"/>
      <w:r w:rsidRPr="009B460C">
        <w:t>-2</w:t>
      </w:r>
      <w:r w:rsidR="004B0C57">
        <w:t xml:space="preserve"> </w:t>
      </w:r>
      <w:r w:rsidR="004B0C57">
        <w:fldChar w:fldCharType="begin"/>
      </w:r>
      <w:r w:rsidR="004B0C57">
        <w:instrText xml:space="preserve"> REF _Ref219979742 \r \h </w:instrText>
      </w:r>
      <w:r w:rsidR="004B0C57">
        <w:fldChar w:fldCharType="separate"/>
      </w:r>
      <w:r w:rsidR="003654A1">
        <w:t>[2]</w:t>
      </w:r>
      <w:r w:rsidR="004B0C57">
        <w:fldChar w:fldCharType="end"/>
      </w:r>
      <w:r w:rsidRPr="009B460C">
        <w:t>, without external reference</w:t>
      </w:r>
    </w:p>
    <w:p w14:paraId="1AD44FE0" w14:textId="77777777" w:rsidR="003C33F8" w:rsidRPr="009B460C" w:rsidRDefault="003C33F8" w:rsidP="003C33F8">
      <w:pPr>
        <w:pStyle w:val="ListParagraph"/>
        <w:widowControl/>
        <w:numPr>
          <w:ilvl w:val="0"/>
          <w:numId w:val="19"/>
        </w:numPr>
        <w:overflowPunct w:val="0"/>
        <w:adjustRightInd w:val="0"/>
        <w:spacing w:after="120"/>
        <w:contextualSpacing/>
        <w:jc w:val="both"/>
        <w:textAlignment w:val="baseline"/>
      </w:pPr>
      <w:r w:rsidRPr="009B460C">
        <w:t>Listener instructions: “</w:t>
      </w:r>
      <w:r w:rsidRPr="005A1B68">
        <w:rPr>
          <w:i/>
          <w:iCs/>
        </w:rPr>
        <w:t xml:space="preserve">Your task is to rate the </w:t>
      </w:r>
      <w:r w:rsidRPr="005A1B68">
        <w:rPr>
          <w:b/>
          <w:bCs/>
          <w:i/>
          <w:iCs/>
        </w:rPr>
        <w:t>Overall Quality and Plausibility</w:t>
      </w:r>
      <w:r w:rsidRPr="005A1B68">
        <w:rPr>
          <w:i/>
          <w:iCs/>
        </w:rPr>
        <w:t xml:space="preserve"> of the scene with a single score.</w:t>
      </w:r>
      <w:r w:rsidRPr="005A1B68">
        <w:t>”</w:t>
      </w:r>
      <w:r w:rsidRPr="00434A5A">
        <w:t xml:space="preserve"> </w:t>
      </w:r>
    </w:p>
    <w:p w14:paraId="5E09143F" w14:textId="3EB02F4A" w:rsidR="003C33F8" w:rsidRPr="005A1B68" w:rsidRDefault="003C33F8" w:rsidP="003C33F8">
      <w:pPr>
        <w:pStyle w:val="ListParagraph"/>
        <w:widowControl/>
        <w:numPr>
          <w:ilvl w:val="0"/>
          <w:numId w:val="19"/>
        </w:numPr>
        <w:overflowPunct w:val="0"/>
        <w:adjustRightInd w:val="0"/>
        <w:spacing w:after="120"/>
        <w:contextualSpacing/>
        <w:jc w:val="both"/>
        <w:textAlignment w:val="baseline"/>
      </w:pPr>
      <w:r w:rsidRPr="009B460C">
        <w:t xml:space="preserve">As verbal anchors for the 100-point scale, the following terms are defined for the five 20-point regions of the scale: </w:t>
      </w:r>
      <w:r w:rsidRPr="009B460C">
        <w:rPr>
          <w:i/>
          <w:iCs/>
        </w:rPr>
        <w:t>excellent</w:t>
      </w:r>
      <w:r w:rsidRPr="009B460C">
        <w:t xml:space="preserve">, </w:t>
      </w:r>
      <w:r w:rsidRPr="009B460C">
        <w:rPr>
          <w:i/>
          <w:iCs/>
        </w:rPr>
        <w:t>good</w:t>
      </w:r>
      <w:r w:rsidRPr="009B460C">
        <w:t xml:space="preserve">, </w:t>
      </w:r>
      <w:r w:rsidRPr="009B460C">
        <w:rPr>
          <w:i/>
          <w:iCs/>
        </w:rPr>
        <w:t>fair</w:t>
      </w:r>
      <w:r w:rsidRPr="009B460C">
        <w:t xml:space="preserve">, </w:t>
      </w:r>
      <w:r w:rsidRPr="009B460C">
        <w:rPr>
          <w:i/>
          <w:iCs/>
        </w:rPr>
        <w:t>poor</w:t>
      </w:r>
      <w:r w:rsidRPr="009B460C">
        <w:t xml:space="preserve">, and </w:t>
      </w:r>
      <w:r w:rsidRPr="009B460C">
        <w:rPr>
          <w:i/>
          <w:iCs/>
        </w:rPr>
        <w:t>bad</w:t>
      </w:r>
      <w:r w:rsidRPr="009B460C">
        <w:t>.</w:t>
      </w:r>
    </w:p>
    <w:p w14:paraId="4142E406" w14:textId="77777777" w:rsidR="00B27B38" w:rsidRPr="00B27B38" w:rsidRDefault="00B27B38" w:rsidP="00B27B38">
      <w:pPr>
        <w:pStyle w:val="ListParagraph"/>
        <w:numPr>
          <w:ilvl w:val="0"/>
          <w:numId w:val="19"/>
        </w:numPr>
      </w:pPr>
      <w:r w:rsidRPr="00B27B38">
        <w:t>Listeners were required to be experts in audio evaluation. There is also a distinction between general audio evaluation experts and MPEG-I listening experts (developers of the standard and well experienced with 6DoF interactive rendering).</w:t>
      </w:r>
    </w:p>
    <w:p w14:paraId="1D5AA6DB" w14:textId="6453D729" w:rsidR="003C33F8" w:rsidRPr="009B460C" w:rsidRDefault="003C33F8" w:rsidP="003654A1">
      <w:pPr>
        <w:widowControl/>
        <w:overflowPunct w:val="0"/>
        <w:adjustRightInd w:val="0"/>
        <w:spacing w:after="120"/>
        <w:contextualSpacing/>
        <w:jc w:val="both"/>
        <w:textAlignment w:val="baseline"/>
      </w:pPr>
    </w:p>
    <w:p w14:paraId="10A51FB6" w14:textId="77777777" w:rsidR="003C33F8" w:rsidRPr="00D35B6B" w:rsidRDefault="003C33F8" w:rsidP="003C33F8">
      <w:pPr>
        <w:jc w:val="both"/>
        <w:rPr>
          <w:b/>
          <w:bCs/>
        </w:rPr>
      </w:pPr>
      <w:r w:rsidRPr="00D35B6B">
        <w:rPr>
          <w:b/>
          <w:bCs/>
        </w:rPr>
        <w:t>Conditions:</w:t>
      </w:r>
    </w:p>
    <w:p w14:paraId="29BE3687" w14:textId="7486D42E" w:rsidR="003C33F8" w:rsidRDefault="003C33F8" w:rsidP="003C33F8">
      <w:pPr>
        <w:jc w:val="both"/>
      </w:pPr>
      <w:r>
        <w:t>(1)</w:t>
      </w:r>
      <w:r>
        <w:tab/>
        <w:t xml:space="preserve">MPEG-I </w:t>
      </w:r>
      <w:r w:rsidR="000673DB">
        <w:t>i</w:t>
      </w:r>
      <w:r>
        <w:t xml:space="preserve">mmersive </w:t>
      </w:r>
      <w:r w:rsidR="000673DB">
        <w:t>a</w:t>
      </w:r>
      <w:r>
        <w:t>udio international standard (</w:t>
      </w:r>
      <w:r w:rsidRPr="00AF69BD">
        <w:t>IS</w:t>
      </w:r>
      <w:r>
        <w:t>)</w:t>
      </w:r>
    </w:p>
    <w:p w14:paraId="013E8F5F" w14:textId="77777777" w:rsidR="003C33F8" w:rsidRDefault="003C33F8" w:rsidP="003C33F8">
      <w:pPr>
        <w:jc w:val="both"/>
      </w:pPr>
      <w:r>
        <w:t>(2)</w:t>
      </w:r>
      <w:r>
        <w:tab/>
        <w:t>Mid anchor</w:t>
      </w:r>
    </w:p>
    <w:p w14:paraId="580ED713" w14:textId="77777777" w:rsidR="003C33F8" w:rsidRDefault="003C33F8" w:rsidP="003C33F8">
      <w:pPr>
        <w:jc w:val="both"/>
      </w:pPr>
      <w:r>
        <w:t>(3)</w:t>
      </w:r>
      <w:r>
        <w:tab/>
        <w:t xml:space="preserve">Low anchor </w:t>
      </w:r>
    </w:p>
    <w:p w14:paraId="4C5DCA25" w14:textId="77777777" w:rsidR="003C33F8" w:rsidRDefault="003C33F8" w:rsidP="003C33F8">
      <w:pPr>
        <w:jc w:val="both"/>
      </w:pPr>
    </w:p>
    <w:p w14:paraId="17A64E85" w14:textId="38697BEF" w:rsidR="003C33F8" w:rsidRDefault="003C33F8" w:rsidP="003C33F8">
      <w:pPr>
        <w:jc w:val="both"/>
      </w:pPr>
      <w:r w:rsidRPr="00AD48BB">
        <w:t>Conditions (</w:t>
      </w:r>
      <w:r w:rsidR="000673DB">
        <w:t>3</w:t>
      </w:r>
      <w:r w:rsidRPr="00AD48BB">
        <w:t>) and (</w:t>
      </w:r>
      <w:r w:rsidR="000673DB">
        <w:t>2</w:t>
      </w:r>
      <w:r w:rsidRPr="00AD48BB">
        <w:t xml:space="preserve">) were designed with the intent to resemble a stable lower anchor satisfying  minimum requirements for audio </w:t>
      </w:r>
      <w:r w:rsidRPr="005A1B68">
        <w:t xml:space="preserve">reproduction </w:t>
      </w:r>
      <w:r w:rsidRPr="00AD48BB">
        <w:t>(</w:t>
      </w:r>
      <w:proofErr w:type="spellStart"/>
      <w:r w:rsidRPr="00AD48BB">
        <w:t>3.5kHz</w:t>
      </w:r>
      <w:proofErr w:type="spellEnd"/>
      <w:r w:rsidRPr="00AD48BB">
        <w:t xml:space="preserve"> audio bandwidth</w:t>
      </w:r>
      <w:r w:rsidRPr="005A1B68">
        <w:t>, mono mixdown</w:t>
      </w:r>
      <w:r w:rsidRPr="00AD48BB">
        <w:t xml:space="preserve">), and a suitable mid anchor simulating a </w:t>
      </w:r>
      <w:r w:rsidRPr="005A1B68">
        <w:t>basic</w:t>
      </w:r>
      <w:r w:rsidRPr="00AD48BB">
        <w:t xml:space="preserve"> 6DoF audio rendering with </w:t>
      </w:r>
      <w:proofErr w:type="spellStart"/>
      <w:r w:rsidRPr="00AD48BB">
        <w:t>7kHz</w:t>
      </w:r>
      <w:proofErr w:type="spellEnd"/>
      <w:r w:rsidRPr="00AD48BB">
        <w:t xml:space="preserve"> audio bandwidth and </w:t>
      </w:r>
      <w:r w:rsidRPr="005A1B68">
        <w:t xml:space="preserve">stereo </w:t>
      </w:r>
      <w:r w:rsidRPr="00AD48BB">
        <w:t>amplitude panning</w:t>
      </w:r>
      <w:r w:rsidRPr="005A1B68">
        <w:t xml:space="preserve"> that, in turn for its simplicity, was found to lack proper externalization</w:t>
      </w:r>
      <w:r w:rsidRPr="00AD48BB">
        <w:t>.</w:t>
      </w:r>
    </w:p>
    <w:p w14:paraId="621EEFD9" w14:textId="77777777" w:rsidR="003C33F8" w:rsidRPr="00EE5116" w:rsidRDefault="003C33F8" w:rsidP="00EE5116">
      <w:pPr>
        <w:pStyle w:val="Heading2"/>
        <w:spacing w:before="120" w:after="60"/>
        <w:ind w:left="578" w:hanging="578"/>
        <w:rPr>
          <w:rFonts w:ascii="Arial" w:hAnsi="Arial" w:cs="Arial"/>
          <w:color w:val="000000" w:themeColor="text1"/>
          <w:sz w:val="24"/>
          <w:szCs w:val="24"/>
        </w:rPr>
      </w:pPr>
      <w:r w:rsidRPr="00EE5116">
        <w:rPr>
          <w:rFonts w:ascii="Arial" w:hAnsi="Arial" w:cs="Arial"/>
          <w:color w:val="000000" w:themeColor="text1"/>
          <w:sz w:val="24"/>
          <w:szCs w:val="24"/>
        </w:rPr>
        <w:lastRenderedPageBreak/>
        <w:t>VR Test Scenes</w:t>
      </w:r>
    </w:p>
    <w:p w14:paraId="57E44620" w14:textId="48A22CD9" w:rsidR="003C33F8" w:rsidRDefault="00743727" w:rsidP="003C33F8">
      <w:pPr>
        <w:jc w:val="both"/>
        <w:rPr>
          <w:rFonts w:eastAsiaTheme="minorEastAsia"/>
        </w:rPr>
      </w:pPr>
      <w:r>
        <w:rPr>
          <w:rFonts w:eastAsiaTheme="minorEastAsia"/>
        </w:rPr>
        <w:t>10 different in- and outdoor VR scenes were</w:t>
      </w:r>
      <w:r w:rsidR="003C33F8" w:rsidRPr="306941FC">
        <w:rPr>
          <w:rFonts w:eastAsiaTheme="minorEastAsia"/>
        </w:rPr>
        <w:t xml:space="preserve"> selected for the test</w:t>
      </w:r>
      <w:r>
        <w:rPr>
          <w:rFonts w:eastAsiaTheme="minorEastAsia"/>
        </w:rPr>
        <w:t xml:space="preserve">, covering all aspects </w:t>
      </w:r>
      <w:proofErr w:type="gramStart"/>
      <w:r>
        <w:rPr>
          <w:rFonts w:eastAsiaTheme="minorEastAsia"/>
        </w:rPr>
        <w:t>of  rich</w:t>
      </w:r>
      <w:proofErr w:type="gramEnd"/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acoustical</w:t>
      </w:r>
      <w:proofErr w:type="gramEnd"/>
      <w:r>
        <w:rPr>
          <w:rFonts w:eastAsiaTheme="minorEastAsia"/>
        </w:rPr>
        <w:t xml:space="preserve"> environments. 2 scenes were repeated for consistency checks.</w:t>
      </w:r>
    </w:p>
    <w:p w14:paraId="7EE9F44F" w14:textId="77777777" w:rsidR="003C33F8" w:rsidRPr="00F84658" w:rsidRDefault="003C33F8" w:rsidP="009436C2">
      <w:pPr>
        <w:pStyle w:val="Heading1"/>
        <w:keepNext/>
        <w:spacing w:before="180" w:after="60"/>
        <w:ind w:left="431" w:hanging="431"/>
        <w:jc w:val="both"/>
      </w:pPr>
      <w:r w:rsidRPr="00F84658">
        <w:t>Verification Test Results</w:t>
      </w:r>
    </w:p>
    <w:p w14:paraId="0809B3D2" w14:textId="5EC7A209" w:rsidR="00743727" w:rsidRDefault="00B71F36" w:rsidP="00743727">
      <w:pPr>
        <w:pStyle w:val="Heading2"/>
        <w:spacing w:before="120" w:after="60"/>
        <w:ind w:left="578" w:hanging="578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Test Data</w:t>
      </w:r>
    </w:p>
    <w:p w14:paraId="3C099D33" w14:textId="6A0A9593" w:rsidR="003C33F8" w:rsidRPr="002A674E" w:rsidRDefault="00743727" w:rsidP="00B71F36">
      <w:pPr>
        <w:spacing w:after="120"/>
        <w:jc w:val="both"/>
      </w:pPr>
      <w:r>
        <w:t xml:space="preserve">59 </w:t>
      </w:r>
      <w:r w:rsidR="004F619D">
        <w:t xml:space="preserve">expert </w:t>
      </w:r>
      <w:r>
        <w:t>listeners from the different labs participated in the test.</w:t>
      </w:r>
      <w:r w:rsidR="004F619D">
        <w:t xml:space="preserve"> With the consistency check the results of 4 listeners were removed. One listener repeated the test successfully. </w:t>
      </w:r>
      <w:r w:rsidR="00B71F36">
        <w:t>So,</w:t>
      </w:r>
      <w:r w:rsidR="004F619D">
        <w:t xml:space="preserve"> the results of 56 listeners were further analyzed. 30 of them were MPEG-I expert</w:t>
      </w:r>
      <w:r w:rsidR="00B71F36">
        <w:t>s</w:t>
      </w:r>
      <w:r w:rsidR="004F619D">
        <w:t xml:space="preserve"> and 26 were other listening test experts.</w:t>
      </w:r>
      <w:r w:rsidR="00B71F36">
        <w:t xml:space="preserve"> </w:t>
      </w:r>
      <w:r w:rsidR="003C33F8">
        <w:t xml:space="preserve">The average test duration per lab </w:t>
      </w:r>
      <w:r w:rsidR="00B71F36">
        <w:t xml:space="preserve">was </w:t>
      </w:r>
      <w:r w:rsidR="004F619D">
        <w:t xml:space="preserve">37 minutes </w:t>
      </w:r>
      <w:r w:rsidR="00B71F36">
        <w:t>with a standard deviation of 14 minutes. Which leads to a total test time of 37 hours.</w:t>
      </w:r>
    </w:p>
    <w:p w14:paraId="3B15F69B" w14:textId="45F60B01" w:rsidR="00B71F36" w:rsidRPr="00B71F36" w:rsidRDefault="00B71F36" w:rsidP="00B71F36">
      <w:pPr>
        <w:pStyle w:val="Heading2"/>
        <w:spacing w:before="120" w:after="60"/>
        <w:ind w:left="578" w:hanging="578"/>
        <w:rPr>
          <w:rFonts w:ascii="Arial" w:hAnsi="Arial" w:cs="Arial"/>
          <w:color w:val="000000" w:themeColor="text1"/>
          <w:sz w:val="24"/>
          <w:szCs w:val="24"/>
        </w:rPr>
      </w:pPr>
      <w:r w:rsidRPr="00EE5116">
        <w:rPr>
          <w:rFonts w:ascii="Arial" w:hAnsi="Arial" w:cs="Arial"/>
          <w:color w:val="000000" w:themeColor="text1"/>
          <w:sz w:val="24"/>
          <w:szCs w:val="24"/>
        </w:rPr>
        <w:t>Statistical Analysis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and </w:t>
      </w:r>
      <w:r w:rsidRPr="00EE5116">
        <w:rPr>
          <w:rFonts w:ascii="Arial" w:hAnsi="Arial" w:cs="Arial"/>
          <w:color w:val="000000" w:themeColor="text1"/>
          <w:sz w:val="24"/>
          <w:szCs w:val="24"/>
        </w:rPr>
        <w:t>Combined Results of all Labs</w:t>
      </w:r>
    </w:p>
    <w:p w14:paraId="2F9C2292" w14:textId="6197111C" w:rsidR="003C33F8" w:rsidRPr="00634628" w:rsidRDefault="00B71F36" w:rsidP="00B71F36">
      <w:pPr>
        <w:spacing w:after="120"/>
        <w:jc w:val="both"/>
      </w:pPr>
      <w:r>
        <w:t xml:space="preserve">An </w:t>
      </w:r>
      <w:r w:rsidRPr="00B623AB">
        <w:t xml:space="preserve">ANOVA </w:t>
      </w:r>
      <w:r>
        <w:t xml:space="preserve">test </w:t>
      </w:r>
      <w:r w:rsidRPr="00B623AB">
        <w:t>across all data for multiple factors</w:t>
      </w:r>
      <w:r>
        <w:t xml:space="preserve"> was calculated</w:t>
      </w:r>
      <w:r w:rsidRPr="00B623AB">
        <w:t xml:space="preserve">. </w:t>
      </w:r>
      <w:r>
        <w:t>A</w:t>
      </w:r>
      <w:r w:rsidRPr="00B623AB">
        <w:t xml:space="preserve">ll factors are significant, with the </w:t>
      </w:r>
      <w:r>
        <w:t>Condition</w:t>
      </w:r>
      <w:r w:rsidRPr="00B623AB">
        <w:t xml:space="preserve"> being the factor that explains most of the variance in the data. </w:t>
      </w:r>
      <w:r>
        <w:t xml:space="preserve"> A </w:t>
      </w:r>
      <w:r w:rsidRPr="00B623AB">
        <w:t>Tukey HSD (</w:t>
      </w:r>
      <w:r w:rsidR="00E764CA">
        <w:t>H</w:t>
      </w:r>
      <w:r w:rsidRPr="00B623AB">
        <w:t xml:space="preserve">onestly </w:t>
      </w:r>
      <w:r w:rsidR="00E764CA">
        <w:t>S</w:t>
      </w:r>
      <w:r w:rsidRPr="00B623AB">
        <w:t xml:space="preserve">ignificant </w:t>
      </w:r>
      <w:r w:rsidR="00E764CA">
        <w:t>D</w:t>
      </w:r>
      <w:r w:rsidRPr="00B623AB">
        <w:t>ifferen</w:t>
      </w:r>
      <w:r w:rsidR="00497633">
        <w:t>ce</w:t>
      </w:r>
      <w:r w:rsidRPr="00B623AB">
        <w:t>) pairwise comparison over</w:t>
      </w:r>
      <w:r>
        <w:t xml:space="preserve"> conditions shows that all conditions are significantly different from each other. </w:t>
      </w:r>
      <w:r w:rsidR="008521EB">
        <w:t>The</w:t>
      </w:r>
      <w:r>
        <w:t xml:space="preserve"> Tukey HSD comparison</w:t>
      </w:r>
      <w:r w:rsidR="008521EB">
        <w:t>s</w:t>
      </w:r>
      <w:r>
        <w:t xml:space="preserve"> for the labs reveals that only Fraunhofer IIS and Nokia show a slight significant difference over all pairwise-comparisons. Given these results, it would appear fair to average across scenes and labs for the final analysis.</w:t>
      </w:r>
    </w:p>
    <w:p w14:paraId="5DBAB215" w14:textId="0A6DBDCB" w:rsidR="00B71F36" w:rsidRPr="00B71F36" w:rsidRDefault="00B71F36" w:rsidP="00B71F36">
      <w:pPr>
        <w:jc w:val="both"/>
      </w:pPr>
      <w:r w:rsidRPr="006271CF">
        <w:fldChar w:fldCharType="begin"/>
      </w:r>
      <w:r w:rsidRPr="006271CF">
        <w:instrText xml:space="preserve"> REF _Ref219110165 \h  \* MERGEFORMAT </w:instrText>
      </w:r>
      <w:r w:rsidRPr="006271CF">
        <w:fldChar w:fldCharType="separate"/>
      </w:r>
      <w:r w:rsidRPr="00B71F36">
        <w:t>Figure 1</w:t>
      </w:r>
      <w:r w:rsidRPr="006271CF">
        <w:fldChar w:fldCharType="end"/>
      </w:r>
      <w:r>
        <w:t xml:space="preserve"> and </w:t>
      </w:r>
      <w:r w:rsidRPr="006271CF">
        <w:fldChar w:fldCharType="begin"/>
      </w:r>
      <w:r w:rsidRPr="006271CF">
        <w:instrText xml:space="preserve"> REF _Ref219110166 \h  \* MERGEFORMAT </w:instrText>
      </w:r>
      <w:r w:rsidRPr="006271CF">
        <w:fldChar w:fldCharType="separate"/>
      </w:r>
      <w:r w:rsidRPr="00B71F36">
        <w:t>Figure 2</w:t>
      </w:r>
      <w:r w:rsidRPr="006271CF">
        <w:fldChar w:fldCharType="end"/>
      </w:r>
      <w:r>
        <w:t xml:space="preserve"> present the pooled results of all labs, with 56 listeners, after post-screening. </w:t>
      </w:r>
    </w:p>
    <w:p w14:paraId="052B0A83" w14:textId="77777777" w:rsidR="003C33F8" w:rsidRDefault="003C33F8" w:rsidP="003C33F8">
      <w:pPr>
        <w:keepNext/>
        <w:jc w:val="both"/>
      </w:pPr>
      <w:r>
        <w:rPr>
          <w:noProof/>
        </w:rPr>
        <w:drawing>
          <wp:inline distT="0" distB="0" distL="0" distR="0" wp14:anchorId="3C5BD34E" wp14:editId="29C63AC4">
            <wp:extent cx="5943600" cy="3962400"/>
            <wp:effectExtent l="0" t="0" r="0" b="0"/>
            <wp:docPr id="1796045683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045683" name="Picture 179604568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EFFAE" w14:textId="3FB65E9A" w:rsidR="003C33F8" w:rsidRPr="00B71F36" w:rsidRDefault="003C33F8" w:rsidP="003C33F8">
      <w:pPr>
        <w:pStyle w:val="Caption"/>
        <w:spacing w:before="60"/>
        <w:jc w:val="both"/>
        <w:rPr>
          <w:rFonts w:ascii="Arial" w:hAnsi="Arial" w:cs="Arial"/>
          <w:i w:val="0"/>
          <w:iCs w:val="0"/>
          <w:color w:val="auto"/>
          <w:sz w:val="22"/>
          <w:szCs w:val="22"/>
        </w:rPr>
      </w:pPr>
      <w:bookmarkStart w:id="1" w:name="_Ref219110165"/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Figure </w:t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fldChar w:fldCharType="begin"/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instrText xml:space="preserve"> SEQ Figure \* ARABIC </w:instrText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fldChar w:fldCharType="separate"/>
      </w:r>
      <w:r w:rsidR="00B71F36">
        <w:rPr>
          <w:rFonts w:ascii="Arial" w:hAnsi="Arial" w:cs="Arial"/>
          <w:i w:val="0"/>
          <w:iCs w:val="0"/>
          <w:noProof/>
          <w:color w:val="auto"/>
          <w:sz w:val="22"/>
          <w:szCs w:val="22"/>
        </w:rPr>
        <w:t>1</w:t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fldChar w:fldCharType="end"/>
      </w:r>
      <w:bookmarkEnd w:id="1"/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: Overall </w:t>
      </w:r>
      <w:r w:rsidR="00410770">
        <w:rPr>
          <w:rFonts w:ascii="Arial" w:hAnsi="Arial" w:cs="Arial"/>
          <w:i w:val="0"/>
          <w:iCs w:val="0"/>
          <w:color w:val="auto"/>
          <w:sz w:val="22"/>
          <w:szCs w:val="22"/>
        </w:rPr>
        <w:t>r</w:t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esults by render condition as box plots, N </w:t>
      </w:r>
      <w:proofErr w:type="gramStart"/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t>=  560</w:t>
      </w:r>
      <w:proofErr w:type="gramEnd"/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 (56 listeners, 10 trials per listener).</w:t>
      </w:r>
    </w:p>
    <w:p w14:paraId="0EE3A9FA" w14:textId="77777777" w:rsidR="003C33F8" w:rsidRDefault="003C33F8" w:rsidP="003C33F8">
      <w:pPr>
        <w:keepNext/>
      </w:pPr>
      <w:r>
        <w:rPr>
          <w:noProof/>
        </w:rPr>
        <w:lastRenderedPageBreak/>
        <w:drawing>
          <wp:inline distT="0" distB="0" distL="0" distR="0" wp14:anchorId="34C94C77" wp14:editId="29875436">
            <wp:extent cx="5943600" cy="3962400"/>
            <wp:effectExtent l="0" t="0" r="0" b="0"/>
            <wp:docPr id="781746489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746489" name="Picture 781746489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CA7A6" w14:textId="1937AB05" w:rsidR="003C33F8" w:rsidRPr="00B71F36" w:rsidRDefault="003C33F8" w:rsidP="003C33F8">
      <w:pPr>
        <w:pStyle w:val="Caption"/>
        <w:spacing w:before="60" w:line="259" w:lineRule="auto"/>
        <w:jc w:val="both"/>
        <w:rPr>
          <w:rFonts w:ascii="Arial" w:hAnsi="Arial" w:cs="Arial"/>
          <w:i w:val="0"/>
          <w:iCs w:val="0"/>
          <w:color w:val="auto"/>
          <w:sz w:val="22"/>
          <w:szCs w:val="22"/>
        </w:rPr>
      </w:pPr>
      <w:bookmarkStart w:id="2" w:name="_Ref219110166"/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Figure </w:t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fldChar w:fldCharType="begin"/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instrText xml:space="preserve"> SEQ Figure \* ARABIC </w:instrText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fldChar w:fldCharType="separate"/>
      </w:r>
      <w:r w:rsidR="00B71F36">
        <w:rPr>
          <w:rFonts w:ascii="Arial" w:hAnsi="Arial" w:cs="Arial"/>
          <w:i w:val="0"/>
          <w:iCs w:val="0"/>
          <w:noProof/>
          <w:color w:val="auto"/>
          <w:sz w:val="22"/>
          <w:szCs w:val="22"/>
        </w:rPr>
        <w:t>2</w:t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fldChar w:fldCharType="end"/>
      </w:r>
      <w:bookmarkEnd w:id="2"/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t>: Ov</w:t>
      </w:r>
      <w:r w:rsidR="00410770">
        <w:rPr>
          <w:rFonts w:ascii="Arial" w:hAnsi="Arial" w:cs="Arial"/>
          <w:i w:val="0"/>
          <w:iCs w:val="0"/>
          <w:color w:val="auto"/>
          <w:sz w:val="22"/>
          <w:szCs w:val="22"/>
        </w:rPr>
        <w:t>er</w:t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all </w:t>
      </w:r>
      <w:r w:rsidR="00410770">
        <w:rPr>
          <w:rFonts w:ascii="Arial" w:hAnsi="Arial" w:cs="Arial"/>
          <w:i w:val="0"/>
          <w:iCs w:val="0"/>
          <w:color w:val="auto"/>
          <w:sz w:val="22"/>
          <w:szCs w:val="22"/>
        </w:rPr>
        <w:t>r</w:t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t>esults by render condition as mean and 95% confidence interval, N = 560.</w:t>
      </w:r>
    </w:p>
    <w:p w14:paraId="3A91193E" w14:textId="77777777" w:rsidR="00B71F36" w:rsidRPr="00EE5116" w:rsidRDefault="00B71F36" w:rsidP="00B71F36">
      <w:pPr>
        <w:pStyle w:val="Heading2"/>
        <w:spacing w:before="120" w:after="60"/>
        <w:ind w:left="578" w:hanging="578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Detailed Test Results</w:t>
      </w:r>
    </w:p>
    <w:p w14:paraId="35049A03" w14:textId="34073C10" w:rsidR="003C33F8" w:rsidRPr="00927843" w:rsidRDefault="00B71F36" w:rsidP="00B71F36">
      <w:pPr>
        <w:spacing w:after="120"/>
        <w:jc w:val="both"/>
      </w:pPr>
      <w:r>
        <w:t xml:space="preserve">The results are presented as box plots, with median and quartile values. </w:t>
      </w:r>
      <w:proofErr w:type="gramStart"/>
      <w:r>
        <w:t>The non</w:t>
      </w:r>
      <w:proofErr w:type="gramEnd"/>
      <w:r>
        <w:t xml:space="preserve">-parametric presentation does not require normal distribution of the results and is preferred for results from a small number of listeners. </w:t>
      </w:r>
      <w:r w:rsidR="00544ED2">
        <w:t xml:space="preserve">In </w:t>
      </w:r>
      <w:r w:rsidRPr="00B71F36">
        <w:fldChar w:fldCharType="begin"/>
      </w:r>
      <w:r w:rsidRPr="00B71F36">
        <w:instrText xml:space="preserve"> REF _Ref216946416 \h  \* MERGEFORMAT </w:instrText>
      </w:r>
      <w:r w:rsidRPr="00B71F36">
        <w:fldChar w:fldCharType="separate"/>
      </w:r>
      <w:r w:rsidRPr="00B71F36">
        <w:t xml:space="preserve">Figure </w:t>
      </w:r>
      <w:r w:rsidRPr="00B71F36">
        <w:rPr>
          <w:noProof/>
        </w:rPr>
        <w:t>3</w:t>
      </w:r>
      <w:r w:rsidRPr="00B71F36">
        <w:fldChar w:fldCharType="end"/>
      </w:r>
      <w:r w:rsidR="00544ED2">
        <w:t>,</w:t>
      </w:r>
      <w:r>
        <w:t xml:space="preserve"> </w:t>
      </w:r>
      <w:r w:rsidRPr="002E1F03">
        <w:t>the scene results of the pooled labs</w:t>
      </w:r>
      <w:r>
        <w:t xml:space="preserve"> </w:t>
      </w:r>
      <w:r w:rsidRPr="002E1F03">
        <w:t>are presented.</w:t>
      </w:r>
      <w:r w:rsidR="003C33F8" w:rsidRPr="00927843">
        <w:t xml:space="preserve"> The listening test results show:</w:t>
      </w:r>
    </w:p>
    <w:p w14:paraId="0C9539FD" w14:textId="77777777" w:rsidR="003C33F8" w:rsidRPr="00927843" w:rsidRDefault="003C33F8" w:rsidP="003C33F8">
      <w:pPr>
        <w:pStyle w:val="ListParagraph"/>
        <w:widowControl/>
        <w:numPr>
          <w:ilvl w:val="0"/>
          <w:numId w:val="17"/>
        </w:numPr>
        <w:overflowPunct w:val="0"/>
        <w:adjustRightInd w:val="0"/>
        <w:contextualSpacing/>
        <w:jc w:val="both"/>
        <w:textAlignment w:val="baseline"/>
        <w:rPr>
          <w:rFonts w:eastAsiaTheme="minorHAnsi"/>
        </w:rPr>
      </w:pPr>
      <w:r w:rsidRPr="00927843">
        <w:rPr>
          <w:rFonts w:eastAsiaTheme="minorHAnsi"/>
        </w:rPr>
        <w:t>A clear separation of the conditions (IS &gt; mid &gt; low)</w:t>
      </w:r>
    </w:p>
    <w:p w14:paraId="53DE4AAB" w14:textId="77777777" w:rsidR="003C33F8" w:rsidRPr="00927843" w:rsidRDefault="003C33F8" w:rsidP="003C33F8">
      <w:pPr>
        <w:pStyle w:val="ListParagraph"/>
        <w:widowControl/>
        <w:numPr>
          <w:ilvl w:val="0"/>
          <w:numId w:val="17"/>
        </w:numPr>
        <w:overflowPunct w:val="0"/>
        <w:adjustRightInd w:val="0"/>
        <w:contextualSpacing/>
        <w:jc w:val="both"/>
        <w:textAlignment w:val="baseline"/>
        <w:rPr>
          <w:rFonts w:eastAsiaTheme="minorHAnsi"/>
        </w:rPr>
      </w:pPr>
      <w:r w:rsidRPr="00927843">
        <w:rPr>
          <w:rFonts w:eastAsiaTheme="minorHAnsi"/>
        </w:rPr>
        <w:t xml:space="preserve">The low anchor was stable (around 16 points median value) </w:t>
      </w:r>
    </w:p>
    <w:p w14:paraId="11E35EF6" w14:textId="77777777" w:rsidR="003C33F8" w:rsidRPr="00927843" w:rsidRDefault="003C33F8" w:rsidP="003C33F8">
      <w:pPr>
        <w:pStyle w:val="ListParagraph"/>
        <w:widowControl/>
        <w:numPr>
          <w:ilvl w:val="0"/>
          <w:numId w:val="17"/>
        </w:numPr>
        <w:overflowPunct w:val="0"/>
        <w:adjustRightInd w:val="0"/>
        <w:contextualSpacing/>
        <w:jc w:val="both"/>
        <w:textAlignment w:val="baseline"/>
        <w:rPr>
          <w:rFonts w:eastAsiaTheme="minorHAnsi"/>
        </w:rPr>
      </w:pPr>
      <w:r w:rsidRPr="00927843">
        <w:rPr>
          <w:rFonts w:eastAsiaTheme="minorHAnsi"/>
        </w:rPr>
        <w:t xml:space="preserve">The mid anchor varied by scene (around 47 points). </w:t>
      </w:r>
    </w:p>
    <w:p w14:paraId="5D4A8EA1" w14:textId="77777777" w:rsidR="00B71F36" w:rsidRPr="00B71F36" w:rsidRDefault="003C33F8" w:rsidP="00B71F36">
      <w:pPr>
        <w:pStyle w:val="ListParagraph"/>
        <w:widowControl/>
        <w:numPr>
          <w:ilvl w:val="0"/>
          <w:numId w:val="17"/>
        </w:numPr>
        <w:overflowPunct w:val="0"/>
        <w:adjustRightInd w:val="0"/>
        <w:contextualSpacing/>
        <w:jc w:val="both"/>
        <w:textAlignment w:val="baseline"/>
        <w:rPr>
          <w:rFonts w:eastAsiaTheme="minorHAnsi"/>
        </w:rPr>
      </w:pPr>
      <w:r w:rsidRPr="00B71F36">
        <w:rPr>
          <w:rFonts w:eastAsiaTheme="minorHAnsi"/>
        </w:rPr>
        <w:t>The IS is rated on average around 84 points among all labs, which is the “excellent” region of the scale.</w:t>
      </w:r>
    </w:p>
    <w:p w14:paraId="2FCAE973" w14:textId="38DEFADC" w:rsidR="003C33F8" w:rsidRPr="00B71F36" w:rsidRDefault="003C33F8" w:rsidP="00B71F36">
      <w:pPr>
        <w:pStyle w:val="ListParagraph"/>
        <w:widowControl/>
        <w:numPr>
          <w:ilvl w:val="0"/>
          <w:numId w:val="17"/>
        </w:numPr>
        <w:overflowPunct w:val="0"/>
        <w:adjustRightInd w:val="0"/>
        <w:contextualSpacing/>
        <w:jc w:val="both"/>
        <w:textAlignment w:val="baseline"/>
        <w:rPr>
          <w:rFonts w:eastAsiaTheme="minorHAnsi"/>
        </w:rPr>
      </w:pPr>
      <w:r w:rsidRPr="00B71F36">
        <w:rPr>
          <w:rFonts w:eastAsiaTheme="minorHAnsi"/>
        </w:rPr>
        <w:t xml:space="preserve">The individual scenes are rated differently. </w:t>
      </w:r>
    </w:p>
    <w:p w14:paraId="14A9120D" w14:textId="081528CB" w:rsidR="003C33F8" w:rsidRPr="00B71F36" w:rsidRDefault="003C33F8" w:rsidP="00B71F36">
      <w:pPr>
        <w:pStyle w:val="ListParagraph"/>
        <w:widowControl/>
        <w:numPr>
          <w:ilvl w:val="0"/>
          <w:numId w:val="17"/>
        </w:numPr>
        <w:overflowPunct w:val="0"/>
        <w:adjustRightInd w:val="0"/>
        <w:spacing w:after="240"/>
        <w:ind w:left="765" w:hanging="357"/>
        <w:contextualSpacing/>
        <w:jc w:val="both"/>
        <w:textAlignment w:val="baseline"/>
        <w:rPr>
          <w:rFonts w:eastAsiaTheme="minorHAnsi"/>
        </w:rPr>
      </w:pPr>
      <w:r w:rsidRPr="00B71F36">
        <w:rPr>
          <w:rFonts w:eastAsiaTheme="minorHAnsi"/>
        </w:rPr>
        <w:t>The quartile range for some scenes can</w:t>
      </w:r>
      <w:r w:rsidR="00B06E57">
        <w:rPr>
          <w:rFonts w:eastAsiaTheme="minorHAnsi"/>
        </w:rPr>
        <w:t xml:space="preserve"> reach</w:t>
      </w:r>
      <w:r w:rsidRPr="00B71F36">
        <w:rPr>
          <w:rFonts w:eastAsiaTheme="minorHAnsi"/>
        </w:rPr>
        <w:t xml:space="preserve"> 20 points. </w:t>
      </w:r>
    </w:p>
    <w:p w14:paraId="35263ECF" w14:textId="78C01758" w:rsidR="003C33F8" w:rsidRPr="005C5BCB" w:rsidRDefault="00B71F36" w:rsidP="003C33F8">
      <w:pPr>
        <w:rPr>
          <w:highlight w:val="yellow"/>
        </w:rPr>
      </w:pPr>
      <w:r>
        <w:rPr>
          <w:noProof/>
        </w:rPr>
        <w:drawing>
          <wp:inline distT="0" distB="0" distL="0" distR="0" wp14:anchorId="7C4C8027" wp14:editId="7E1A5B02">
            <wp:extent cx="6299200" cy="2360295"/>
            <wp:effectExtent l="0" t="0" r="6350" b="1905"/>
            <wp:docPr id="175305609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236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446CFC" w14:textId="1E4718E7" w:rsidR="003C33F8" w:rsidRPr="00B71F36" w:rsidRDefault="003C33F8" w:rsidP="003C33F8">
      <w:pPr>
        <w:pStyle w:val="Caption"/>
        <w:spacing w:before="60"/>
        <w:jc w:val="both"/>
        <w:rPr>
          <w:rFonts w:ascii="Arial" w:hAnsi="Arial" w:cs="Arial"/>
          <w:i w:val="0"/>
          <w:iCs w:val="0"/>
          <w:color w:val="auto"/>
          <w:sz w:val="22"/>
          <w:szCs w:val="22"/>
        </w:rPr>
      </w:pPr>
      <w:bookmarkStart w:id="3" w:name="_Ref216946416"/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Figure </w:t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fldChar w:fldCharType="begin"/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instrText xml:space="preserve"> SEQ Figure \* ARABIC </w:instrText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fldChar w:fldCharType="separate"/>
      </w:r>
      <w:r w:rsidR="00B71F36">
        <w:rPr>
          <w:rFonts w:ascii="Arial" w:hAnsi="Arial" w:cs="Arial"/>
          <w:i w:val="0"/>
          <w:iCs w:val="0"/>
          <w:noProof/>
          <w:color w:val="auto"/>
          <w:sz w:val="22"/>
          <w:szCs w:val="22"/>
        </w:rPr>
        <w:t>3</w:t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fldChar w:fldCharType="end"/>
      </w:r>
      <w:bookmarkEnd w:id="3"/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: Scene results of all labs, N = 56. </w:t>
      </w:r>
    </w:p>
    <w:p w14:paraId="56BE1C22" w14:textId="77777777" w:rsidR="003C33F8" w:rsidRDefault="003C33F8" w:rsidP="003C33F8">
      <w:r>
        <w:t>Two different expert groups evaluated the MPEG-I immersive audio renderer:</w:t>
      </w:r>
    </w:p>
    <w:p w14:paraId="564A3A4A" w14:textId="0AD8F868" w:rsidR="003C33F8" w:rsidRPr="00B71F36" w:rsidRDefault="003C33F8" w:rsidP="003C33F8">
      <w:pPr>
        <w:pStyle w:val="ListParagraph"/>
        <w:widowControl/>
        <w:numPr>
          <w:ilvl w:val="0"/>
          <w:numId w:val="16"/>
        </w:numPr>
        <w:overflowPunct w:val="0"/>
        <w:adjustRightInd w:val="0"/>
        <w:contextualSpacing/>
        <w:textAlignment w:val="baseline"/>
        <w:rPr>
          <w:rFonts w:eastAsiaTheme="minorHAnsi"/>
        </w:rPr>
      </w:pPr>
      <w:r w:rsidRPr="00B71F36">
        <w:rPr>
          <w:rFonts w:eastAsiaTheme="minorHAnsi"/>
        </w:rPr>
        <w:lastRenderedPageBreak/>
        <w:t xml:space="preserve">The group of MPEG-I developers, who are very familiar with the algorithm and all the test scenes, see </w:t>
      </w:r>
      <w:r w:rsidRPr="00B71F36">
        <w:rPr>
          <w:rFonts w:eastAsiaTheme="minorHAnsi"/>
        </w:rPr>
        <w:fldChar w:fldCharType="begin"/>
      </w:r>
      <w:r w:rsidRPr="00B71F36">
        <w:rPr>
          <w:rFonts w:eastAsiaTheme="minorHAnsi"/>
        </w:rPr>
        <w:instrText xml:space="preserve"> REF _Ref218869681 \h  \* MERGEFORMAT </w:instrText>
      </w:r>
      <w:r w:rsidRPr="00B71F36">
        <w:rPr>
          <w:rFonts w:eastAsiaTheme="minorHAnsi"/>
        </w:rPr>
      </w:r>
      <w:r w:rsidRPr="00B71F36">
        <w:rPr>
          <w:rFonts w:eastAsiaTheme="minorHAnsi"/>
        </w:rPr>
        <w:fldChar w:fldCharType="separate"/>
      </w:r>
      <w:r w:rsidR="00B71F36" w:rsidRPr="00B71F36">
        <w:rPr>
          <w:rFonts w:eastAsiaTheme="minorHAnsi"/>
        </w:rPr>
        <w:t>Figure 4</w:t>
      </w:r>
      <w:r w:rsidRPr="00B71F36">
        <w:rPr>
          <w:rFonts w:eastAsiaTheme="minorHAnsi"/>
        </w:rPr>
        <w:fldChar w:fldCharType="end"/>
      </w:r>
      <w:r w:rsidRPr="00B71F36">
        <w:rPr>
          <w:rFonts w:eastAsiaTheme="minorHAnsi"/>
        </w:rPr>
        <w:t>.</w:t>
      </w:r>
    </w:p>
    <w:p w14:paraId="78AAFEF9" w14:textId="5B1F71E4" w:rsidR="003C33F8" w:rsidRPr="00B71F36" w:rsidRDefault="003C33F8" w:rsidP="003C33F8">
      <w:pPr>
        <w:pStyle w:val="ListParagraph"/>
        <w:widowControl/>
        <w:numPr>
          <w:ilvl w:val="0"/>
          <w:numId w:val="16"/>
        </w:numPr>
        <w:overflowPunct w:val="0"/>
        <w:adjustRightInd w:val="0"/>
        <w:spacing w:after="120"/>
        <w:ind w:left="714" w:hanging="357"/>
        <w:contextualSpacing/>
        <w:textAlignment w:val="baseline"/>
        <w:rPr>
          <w:rFonts w:eastAsiaTheme="minorHAnsi"/>
        </w:rPr>
      </w:pPr>
      <w:r w:rsidRPr="00B71F36">
        <w:rPr>
          <w:rFonts w:eastAsiaTheme="minorHAnsi"/>
        </w:rPr>
        <w:t xml:space="preserve">Audio expert listeners from other fields like e.g. sound engineering, automotive audio tuning, game development and others, see </w:t>
      </w:r>
      <w:r w:rsidRPr="00B71F36">
        <w:rPr>
          <w:rFonts w:eastAsiaTheme="minorHAnsi"/>
        </w:rPr>
        <w:fldChar w:fldCharType="begin"/>
      </w:r>
      <w:r w:rsidRPr="00B71F36">
        <w:rPr>
          <w:rFonts w:eastAsiaTheme="minorHAnsi"/>
        </w:rPr>
        <w:instrText xml:space="preserve"> REF _Ref218869706 \h  \* MERGEFORMAT </w:instrText>
      </w:r>
      <w:r w:rsidRPr="00B71F36">
        <w:rPr>
          <w:rFonts w:eastAsiaTheme="minorHAnsi"/>
        </w:rPr>
      </w:r>
      <w:r w:rsidRPr="00B71F36">
        <w:rPr>
          <w:rFonts w:eastAsiaTheme="minorHAnsi"/>
        </w:rPr>
        <w:fldChar w:fldCharType="separate"/>
      </w:r>
      <w:r w:rsidR="00B71F36" w:rsidRPr="00B71F36">
        <w:rPr>
          <w:rFonts w:eastAsiaTheme="minorHAnsi"/>
        </w:rPr>
        <w:t>Figure 5</w:t>
      </w:r>
      <w:r w:rsidRPr="00B71F36">
        <w:rPr>
          <w:rFonts w:eastAsiaTheme="minorHAnsi"/>
        </w:rPr>
        <w:fldChar w:fldCharType="end"/>
      </w:r>
      <w:r w:rsidRPr="00B71F36">
        <w:rPr>
          <w:rFonts w:eastAsiaTheme="minorHAnsi"/>
        </w:rPr>
        <w:t>.</w:t>
      </w:r>
    </w:p>
    <w:p w14:paraId="587804B1" w14:textId="2B8AE9AA" w:rsidR="003C33F8" w:rsidRDefault="00B71F36" w:rsidP="003C33F8">
      <w:r>
        <w:rPr>
          <w:noProof/>
        </w:rPr>
        <w:drawing>
          <wp:inline distT="0" distB="0" distL="0" distR="0" wp14:anchorId="0B32D921" wp14:editId="4E35B981">
            <wp:extent cx="6299200" cy="2360295"/>
            <wp:effectExtent l="0" t="0" r="6350" b="1905"/>
            <wp:docPr id="64504422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236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8E860" w14:textId="451C1832" w:rsidR="003C33F8" w:rsidRPr="00B71F36" w:rsidRDefault="003C33F8" w:rsidP="003C33F8">
      <w:pPr>
        <w:pStyle w:val="Caption"/>
        <w:spacing w:before="60"/>
        <w:jc w:val="both"/>
        <w:rPr>
          <w:rFonts w:ascii="Arial" w:hAnsi="Arial" w:cs="Arial"/>
          <w:i w:val="0"/>
          <w:iCs w:val="0"/>
          <w:color w:val="auto"/>
          <w:sz w:val="22"/>
          <w:szCs w:val="22"/>
        </w:rPr>
      </w:pPr>
      <w:bookmarkStart w:id="4" w:name="_Ref218869681"/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Figure </w:t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fldChar w:fldCharType="begin"/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instrText xml:space="preserve"> SEQ Figure \* ARABIC </w:instrText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fldChar w:fldCharType="separate"/>
      </w:r>
      <w:r w:rsidR="00B71F36">
        <w:rPr>
          <w:rFonts w:ascii="Arial" w:hAnsi="Arial" w:cs="Arial"/>
          <w:i w:val="0"/>
          <w:iCs w:val="0"/>
          <w:noProof/>
          <w:color w:val="auto"/>
          <w:sz w:val="22"/>
          <w:szCs w:val="22"/>
        </w:rPr>
        <w:t>4</w:t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fldChar w:fldCharType="end"/>
      </w:r>
      <w:bookmarkEnd w:id="4"/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: Scene results of all labs, MPEG-I experts only, N = 30. </w:t>
      </w:r>
    </w:p>
    <w:p w14:paraId="60D757D5" w14:textId="5DD61584" w:rsidR="003C33F8" w:rsidRDefault="00B71F36" w:rsidP="003C33F8">
      <w:r>
        <w:rPr>
          <w:noProof/>
        </w:rPr>
        <w:drawing>
          <wp:inline distT="0" distB="0" distL="0" distR="0" wp14:anchorId="79045CB7" wp14:editId="7B783928">
            <wp:extent cx="6299200" cy="2360295"/>
            <wp:effectExtent l="0" t="0" r="6350" b="1905"/>
            <wp:docPr id="192789340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236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15F9E" w14:textId="51045C81" w:rsidR="003C33F8" w:rsidRPr="00B71F36" w:rsidRDefault="003C33F8" w:rsidP="003C33F8">
      <w:pPr>
        <w:pStyle w:val="Caption"/>
        <w:spacing w:before="60"/>
        <w:jc w:val="both"/>
        <w:rPr>
          <w:rFonts w:ascii="Arial" w:hAnsi="Arial" w:cs="Arial"/>
          <w:i w:val="0"/>
          <w:iCs w:val="0"/>
          <w:color w:val="auto"/>
          <w:sz w:val="22"/>
          <w:szCs w:val="22"/>
        </w:rPr>
      </w:pPr>
      <w:bookmarkStart w:id="5" w:name="_Ref218869706"/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Figure </w:t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fldChar w:fldCharType="begin"/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instrText xml:space="preserve"> SEQ Figure \* ARABIC </w:instrText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fldChar w:fldCharType="separate"/>
      </w:r>
      <w:r w:rsidR="00B71F36">
        <w:rPr>
          <w:rFonts w:ascii="Arial" w:hAnsi="Arial" w:cs="Arial"/>
          <w:i w:val="0"/>
          <w:iCs w:val="0"/>
          <w:noProof/>
          <w:color w:val="auto"/>
          <w:sz w:val="22"/>
          <w:szCs w:val="22"/>
        </w:rPr>
        <w:t>5</w:t>
      </w:r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fldChar w:fldCharType="end"/>
      </w:r>
      <w:bookmarkEnd w:id="5"/>
      <w:r w:rsidRPr="00B71F36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: Scene results of all labs, other experts only, N = 26. </w:t>
      </w:r>
    </w:p>
    <w:p w14:paraId="420FE60D" w14:textId="5655E820" w:rsidR="003C33F8" w:rsidRPr="00EE5116" w:rsidRDefault="00E764CA" w:rsidP="00EE5116">
      <w:pPr>
        <w:pStyle w:val="Heading2"/>
        <w:spacing w:before="120" w:after="60"/>
        <w:ind w:left="578" w:hanging="578"/>
        <w:rPr>
          <w:rFonts w:ascii="Arial" w:hAnsi="Arial" w:cs="Arial"/>
          <w:color w:val="000000" w:themeColor="text1"/>
          <w:sz w:val="24"/>
          <w:szCs w:val="24"/>
        </w:rPr>
      </w:pPr>
      <w:r w:rsidRPr="0082385D">
        <w:rPr>
          <w:rFonts w:ascii="Arial" w:hAnsi="Arial" w:cs="Arial"/>
          <w:color w:val="000000" w:themeColor="text1"/>
          <w:sz w:val="24"/>
          <w:szCs w:val="24"/>
        </w:rPr>
        <w:t>Summary of Results</w:t>
      </w:r>
    </w:p>
    <w:p w14:paraId="76F95BAF" w14:textId="77777777" w:rsidR="003C33F8" w:rsidRPr="005C67D2" w:rsidRDefault="003C33F8" w:rsidP="003C33F8">
      <w:pPr>
        <w:keepNext/>
        <w:jc w:val="both"/>
      </w:pPr>
      <w:r w:rsidRPr="005C67D2">
        <w:t xml:space="preserve">The listening test data </w:t>
      </w:r>
      <w:r>
        <w:t>show</w:t>
      </w:r>
      <w:r w:rsidRPr="005C67D2">
        <w:t xml:space="preserve"> that:</w:t>
      </w:r>
    </w:p>
    <w:p w14:paraId="4E9A9689" w14:textId="7FD42864" w:rsidR="00E764CA" w:rsidRPr="00927843" w:rsidRDefault="00E764CA" w:rsidP="00E764CA">
      <w:pPr>
        <w:pStyle w:val="ListParagraph"/>
        <w:widowControl/>
        <w:numPr>
          <w:ilvl w:val="0"/>
          <w:numId w:val="5"/>
        </w:numPr>
        <w:overflowPunct w:val="0"/>
        <w:adjustRightInd w:val="0"/>
        <w:contextualSpacing/>
        <w:jc w:val="both"/>
        <w:textAlignment w:val="baseline"/>
      </w:pPr>
      <w:r w:rsidRPr="00927843">
        <w:t xml:space="preserve">All selected scenes exhibit a clear and significant quality separation between the IS renderer, the mid- and the low-quality anchor. </w:t>
      </w:r>
    </w:p>
    <w:p w14:paraId="1B8DE29C" w14:textId="3153C2CF" w:rsidR="00E764CA" w:rsidRPr="00927843" w:rsidRDefault="00E764CA" w:rsidP="00E764CA">
      <w:pPr>
        <w:pStyle w:val="ListParagraph"/>
        <w:widowControl/>
        <w:numPr>
          <w:ilvl w:val="0"/>
          <w:numId w:val="5"/>
        </w:numPr>
        <w:overflowPunct w:val="0"/>
        <w:adjustRightInd w:val="0"/>
        <w:contextualSpacing/>
        <w:jc w:val="both"/>
        <w:textAlignment w:val="baseline"/>
      </w:pPr>
      <w:r w:rsidRPr="00927843">
        <w:t xml:space="preserve">The listener’s repeatability shows quite good consistency for the two repeated scenes. </w:t>
      </w:r>
    </w:p>
    <w:p w14:paraId="2D3B302C" w14:textId="77777777" w:rsidR="00E764CA" w:rsidRPr="00927843" w:rsidRDefault="00E764CA" w:rsidP="00E764CA">
      <w:pPr>
        <w:pStyle w:val="ListParagraph"/>
        <w:widowControl/>
        <w:numPr>
          <w:ilvl w:val="0"/>
          <w:numId w:val="5"/>
        </w:numPr>
        <w:overflowPunct w:val="0"/>
        <w:adjustRightInd w:val="0"/>
        <w:contextualSpacing/>
        <w:jc w:val="both"/>
        <w:textAlignment w:val="baseline"/>
      </w:pPr>
      <w:r w:rsidRPr="00927843">
        <w:t>The IS is rated with a median of 84 points among all labs, which is the “excellent” region of the scale.</w:t>
      </w:r>
    </w:p>
    <w:p w14:paraId="613A3642" w14:textId="77ECFCAE" w:rsidR="003C33F8" w:rsidRDefault="00E764CA" w:rsidP="00E764CA">
      <w:pPr>
        <w:pStyle w:val="ListParagraph"/>
        <w:widowControl/>
        <w:numPr>
          <w:ilvl w:val="0"/>
          <w:numId w:val="5"/>
        </w:numPr>
        <w:overflowPunct w:val="0"/>
        <w:adjustRightInd w:val="0"/>
        <w:contextualSpacing/>
        <w:jc w:val="both"/>
        <w:textAlignment w:val="baseline"/>
      </w:pPr>
      <w:r w:rsidRPr="00927843">
        <w:t>The group sizes of the MPEG-I experts and the other listening test experts were similar, 26 to 30. But the quartile range for all three conditions, per lab or per scene,</w:t>
      </w:r>
      <w:r>
        <w:t xml:space="preserve"> and the repeatability</w:t>
      </w:r>
      <w:r w:rsidRPr="00927843">
        <w:t xml:space="preserve"> is a bit larger for the non-MPEG-I experts. This repeated the experience of many former MPEG audio listening tests that the developers of the system are the more critical listeners.</w:t>
      </w:r>
    </w:p>
    <w:p w14:paraId="1D891BB6" w14:textId="77777777" w:rsidR="00E3573A" w:rsidRDefault="00E3573A" w:rsidP="00E3573A">
      <w:pPr>
        <w:widowControl/>
        <w:overflowPunct w:val="0"/>
        <w:adjustRightInd w:val="0"/>
        <w:contextualSpacing/>
        <w:jc w:val="both"/>
        <w:textAlignment w:val="baseline"/>
      </w:pPr>
    </w:p>
    <w:p w14:paraId="2D8CED6F" w14:textId="4B913D25" w:rsidR="00E3573A" w:rsidRDefault="00E3573A" w:rsidP="00B06E57">
      <w:pPr>
        <w:pStyle w:val="Heading1"/>
        <w:keepNext/>
        <w:spacing w:before="180" w:after="60"/>
        <w:ind w:left="431" w:hanging="431"/>
        <w:jc w:val="both"/>
      </w:pPr>
      <w:bookmarkStart w:id="6" w:name="_Hlk220055034"/>
      <w:r>
        <w:t>Conclusion</w:t>
      </w:r>
    </w:p>
    <w:p w14:paraId="12C5C16E" w14:textId="20D4639D" w:rsidR="00E3573A" w:rsidRPr="00927843" w:rsidRDefault="00E3573A" w:rsidP="00B06E57">
      <w:pPr>
        <w:widowControl/>
        <w:overflowPunct w:val="0"/>
        <w:adjustRightInd w:val="0"/>
        <w:contextualSpacing/>
        <w:jc w:val="both"/>
        <w:textAlignment w:val="baseline"/>
      </w:pPr>
      <w:r>
        <w:t>In the MPEG-I immersive audio verification test, the o</w:t>
      </w:r>
      <w:r w:rsidRPr="00E3573A">
        <w:t xml:space="preserve">verall </w:t>
      </w:r>
      <w:r>
        <w:t>perceptual q</w:t>
      </w:r>
      <w:r w:rsidRPr="00E3573A">
        <w:t xml:space="preserve">uality and </w:t>
      </w:r>
      <w:r>
        <w:t>pl</w:t>
      </w:r>
      <w:r w:rsidRPr="00E3573A">
        <w:t>ausibility</w:t>
      </w:r>
      <w:r>
        <w:t xml:space="preserve"> of the standardized renderer ha</w:t>
      </w:r>
      <w:r w:rsidR="00A95695">
        <w:t>ve</w:t>
      </w:r>
      <w:r>
        <w:t xml:space="preserve"> been assessed</w:t>
      </w:r>
      <w:r w:rsidR="001A1F8D">
        <w:t xml:space="preserve"> by expert listeners</w:t>
      </w:r>
      <w:r>
        <w:t xml:space="preserve">. Grounded on two anchor conditions, </w:t>
      </w:r>
      <w:r w:rsidR="001A1F8D">
        <w:t>a</w:t>
      </w:r>
      <w:r>
        <w:t xml:space="preserve"> lower anchor </w:t>
      </w:r>
      <w:r w:rsidRPr="00E3573A">
        <w:t>satisfying</w:t>
      </w:r>
      <w:r>
        <w:t xml:space="preserve"> </w:t>
      </w:r>
      <w:r w:rsidRPr="00E3573A">
        <w:t xml:space="preserve">minimum requirements for </w:t>
      </w:r>
      <w:r w:rsidR="001A1F8D">
        <w:t xml:space="preserve">reasonable </w:t>
      </w:r>
      <w:r w:rsidRPr="00E3573A">
        <w:t>audio reproduction</w:t>
      </w:r>
      <w:r>
        <w:t xml:space="preserve">, and </w:t>
      </w:r>
      <w:r w:rsidR="001A1F8D">
        <w:t>a</w:t>
      </w:r>
      <w:r>
        <w:t xml:space="preserve"> </w:t>
      </w:r>
      <w:r w:rsidRPr="00E3573A">
        <w:t xml:space="preserve">mid anchor simulating a basic 6DoF audio rendering </w:t>
      </w:r>
      <w:r>
        <w:t>using</w:t>
      </w:r>
      <w:r w:rsidRPr="00E3573A">
        <w:t xml:space="preserve"> </w:t>
      </w:r>
      <w:r w:rsidR="001A1F8D">
        <w:t xml:space="preserve">well-known </w:t>
      </w:r>
      <w:r w:rsidRPr="00E3573A">
        <w:t>stereo amplitude panning</w:t>
      </w:r>
      <w:r>
        <w:t>,</w:t>
      </w:r>
      <w:r w:rsidRPr="00E3573A">
        <w:t xml:space="preserve"> listeners rated the MPEG-I immersive audio condition </w:t>
      </w:r>
      <w:r>
        <w:t xml:space="preserve">overall </w:t>
      </w:r>
      <w:r w:rsidRPr="00E3573A">
        <w:t>as “excellent”</w:t>
      </w:r>
      <w:r w:rsidR="001A1F8D">
        <w:t xml:space="preserve">, </w:t>
      </w:r>
      <w:r w:rsidR="00176108">
        <w:t>confirming</w:t>
      </w:r>
      <w:r w:rsidR="001A1F8D">
        <w:t xml:space="preserve"> that the initial development goal of achieving high-quality interactive audio rendering has been accomplished.  </w:t>
      </w:r>
    </w:p>
    <w:bookmarkEnd w:id="6"/>
    <w:p w14:paraId="1E690016" w14:textId="77777777" w:rsidR="003C33F8" w:rsidRPr="003E6DF1" w:rsidRDefault="003C33F8" w:rsidP="004B0C57">
      <w:pPr>
        <w:pStyle w:val="Heading1"/>
        <w:keepNext/>
        <w:spacing w:before="180" w:after="60"/>
        <w:ind w:left="431" w:hanging="431"/>
        <w:jc w:val="both"/>
      </w:pPr>
      <w:r w:rsidRPr="003E6DF1">
        <w:lastRenderedPageBreak/>
        <w:t>Literature</w:t>
      </w:r>
    </w:p>
    <w:p w14:paraId="3077EF82" w14:textId="551D68CE" w:rsidR="004B0C57" w:rsidRPr="001B1A21" w:rsidRDefault="004B0C57" w:rsidP="004B0C57">
      <w:pPr>
        <w:pStyle w:val="ListParagraph"/>
        <w:widowControl/>
        <w:numPr>
          <w:ilvl w:val="0"/>
          <w:numId w:val="4"/>
        </w:numPr>
        <w:tabs>
          <w:tab w:val="clear" w:pos="792"/>
          <w:tab w:val="num" w:pos="567"/>
        </w:tabs>
        <w:overflowPunct w:val="0"/>
        <w:adjustRightInd w:val="0"/>
        <w:ind w:left="567" w:hanging="567"/>
        <w:contextualSpacing/>
        <w:jc w:val="both"/>
        <w:textAlignment w:val="baseline"/>
        <w:rPr>
          <w:rFonts w:eastAsia="Calibri"/>
        </w:rPr>
      </w:pPr>
      <w:bookmarkStart w:id="7" w:name="_Ref207892579"/>
      <w:bookmarkStart w:id="8" w:name="_Ref219979529"/>
      <w:r w:rsidRPr="001B1A21">
        <w:rPr>
          <w:rFonts w:eastAsia="Calibri"/>
        </w:rPr>
        <w:t xml:space="preserve">ITU-R, Rec. </w:t>
      </w:r>
      <w:proofErr w:type="spellStart"/>
      <w:r w:rsidRPr="001B1A21">
        <w:rPr>
          <w:rFonts w:eastAsia="Calibri"/>
        </w:rPr>
        <w:t>BS.2132</w:t>
      </w:r>
      <w:proofErr w:type="spellEnd"/>
      <w:r w:rsidR="000673DB">
        <w:rPr>
          <w:rFonts w:eastAsia="Calibri"/>
        </w:rPr>
        <w:t>-0</w:t>
      </w:r>
      <w:r w:rsidRPr="001B1A21">
        <w:rPr>
          <w:rFonts w:eastAsia="Calibri"/>
        </w:rPr>
        <w:t xml:space="preserve">, Method for the Subjective Quality Assessment of Audible Differences of Sound Systems Using Multiple Stimuli Without a Given Reference, 2019, Intern. Telecom Union, Geneva, Switzerland. Available from: </w:t>
      </w:r>
      <w:hyperlink r:id="rId19" w:history="1">
        <w:r w:rsidRPr="001B1A21">
          <w:rPr>
            <w:rStyle w:val="Hyperlink"/>
            <w:rFonts w:eastAsia="Calibri"/>
          </w:rPr>
          <w:t>https://</w:t>
        </w:r>
        <w:proofErr w:type="spellStart"/>
        <w:r w:rsidRPr="001B1A21">
          <w:rPr>
            <w:rStyle w:val="Hyperlink"/>
            <w:rFonts w:eastAsia="Calibri"/>
          </w:rPr>
          <w:t>www.itu.int</w:t>
        </w:r>
        <w:proofErr w:type="spellEnd"/>
        <w:r w:rsidRPr="001B1A21">
          <w:rPr>
            <w:rStyle w:val="Hyperlink"/>
            <w:rFonts w:eastAsia="Calibri"/>
          </w:rPr>
          <w:t>/rec/R-REC-</w:t>
        </w:r>
        <w:proofErr w:type="spellStart"/>
        <w:r w:rsidRPr="001B1A21">
          <w:rPr>
            <w:rStyle w:val="Hyperlink"/>
            <w:rFonts w:eastAsia="Calibri"/>
          </w:rPr>
          <w:t>BS.2132</w:t>
        </w:r>
        <w:proofErr w:type="spellEnd"/>
        <w:r w:rsidRPr="001B1A21">
          <w:rPr>
            <w:rStyle w:val="Hyperlink"/>
            <w:rFonts w:eastAsia="Calibri"/>
          </w:rPr>
          <w:t>/</w:t>
        </w:r>
        <w:proofErr w:type="spellStart"/>
        <w:r w:rsidRPr="001B1A21">
          <w:rPr>
            <w:rStyle w:val="Hyperlink"/>
            <w:rFonts w:eastAsia="Calibri"/>
          </w:rPr>
          <w:t>en</w:t>
        </w:r>
        <w:proofErr w:type="spellEnd"/>
      </w:hyperlink>
      <w:r w:rsidRPr="001B1A21">
        <w:rPr>
          <w:rFonts w:eastAsia="Calibri"/>
        </w:rPr>
        <w:t>.</w:t>
      </w:r>
      <w:bookmarkEnd w:id="7"/>
      <w:bookmarkEnd w:id="8"/>
    </w:p>
    <w:p w14:paraId="042C0D66" w14:textId="77777777" w:rsidR="004B0C57" w:rsidRPr="006824F1" w:rsidRDefault="004B0C57" w:rsidP="004B0C57">
      <w:pPr>
        <w:pStyle w:val="ListParagraph"/>
        <w:widowControl/>
        <w:numPr>
          <w:ilvl w:val="0"/>
          <w:numId w:val="4"/>
        </w:numPr>
        <w:tabs>
          <w:tab w:val="clear" w:pos="792"/>
          <w:tab w:val="num" w:pos="567"/>
        </w:tabs>
        <w:overflowPunct w:val="0"/>
        <w:adjustRightInd w:val="0"/>
        <w:ind w:left="567" w:hanging="567"/>
        <w:contextualSpacing/>
        <w:jc w:val="both"/>
        <w:textAlignment w:val="baseline"/>
        <w:rPr>
          <w:rFonts w:eastAsia="Calibri"/>
        </w:rPr>
      </w:pPr>
      <w:bookmarkStart w:id="9" w:name="_Ref219979742"/>
      <w:r w:rsidRPr="001B1A21">
        <w:rPr>
          <w:rFonts w:eastAsia="Calibri"/>
        </w:rPr>
        <w:t xml:space="preserve">ITU-R, Rec </w:t>
      </w:r>
      <w:proofErr w:type="spellStart"/>
      <w:r w:rsidRPr="001B1A21">
        <w:rPr>
          <w:rFonts w:eastAsia="Calibri"/>
        </w:rPr>
        <w:t>BS.1284</w:t>
      </w:r>
      <w:proofErr w:type="spellEnd"/>
      <w:r w:rsidRPr="001B1A21">
        <w:rPr>
          <w:rFonts w:eastAsia="Calibri"/>
        </w:rPr>
        <w:t xml:space="preserve">-2, General Methods for the Subjective Assessment of Sound Quality, 2019. Intern. Telecom Union, Geneva, Switzerland. </w:t>
      </w:r>
      <w:hyperlink r:id="rId20" w:history="1">
        <w:r w:rsidRPr="001B1A21">
          <w:rPr>
            <w:rStyle w:val="Hyperlink"/>
            <w:rFonts w:eastAsia="Calibri"/>
          </w:rPr>
          <w:t>https://</w:t>
        </w:r>
        <w:proofErr w:type="spellStart"/>
        <w:r w:rsidRPr="001B1A21">
          <w:rPr>
            <w:rStyle w:val="Hyperlink"/>
            <w:rFonts w:eastAsia="Calibri"/>
          </w:rPr>
          <w:t>www.itu.int</w:t>
        </w:r>
        <w:proofErr w:type="spellEnd"/>
        <w:r w:rsidRPr="001B1A21">
          <w:rPr>
            <w:rStyle w:val="Hyperlink"/>
            <w:rFonts w:eastAsia="Calibri"/>
          </w:rPr>
          <w:t>/rec/R-REC-</w:t>
        </w:r>
        <w:proofErr w:type="spellStart"/>
        <w:r w:rsidRPr="001B1A21">
          <w:rPr>
            <w:rStyle w:val="Hyperlink"/>
            <w:rFonts w:eastAsia="Calibri"/>
          </w:rPr>
          <w:t>BS.1284</w:t>
        </w:r>
        <w:proofErr w:type="spellEnd"/>
        <w:r w:rsidRPr="001B1A21">
          <w:rPr>
            <w:rStyle w:val="Hyperlink"/>
            <w:rFonts w:eastAsia="Calibri"/>
          </w:rPr>
          <w:t>/</w:t>
        </w:r>
        <w:proofErr w:type="spellStart"/>
        <w:r w:rsidRPr="001B1A21">
          <w:rPr>
            <w:rStyle w:val="Hyperlink"/>
            <w:rFonts w:eastAsia="Calibri"/>
          </w:rPr>
          <w:t>en</w:t>
        </w:r>
        <w:proofErr w:type="spellEnd"/>
      </w:hyperlink>
      <w:bookmarkEnd w:id="9"/>
    </w:p>
    <w:p w14:paraId="06E44EBC" w14:textId="77777777" w:rsidR="00514FCB" w:rsidRDefault="004B0C57" w:rsidP="00514FCB">
      <w:pPr>
        <w:pStyle w:val="ListParagraph"/>
        <w:widowControl/>
        <w:numPr>
          <w:ilvl w:val="0"/>
          <w:numId w:val="4"/>
        </w:numPr>
        <w:tabs>
          <w:tab w:val="clear" w:pos="792"/>
          <w:tab w:val="num" w:pos="567"/>
        </w:tabs>
        <w:overflowPunct w:val="0"/>
        <w:adjustRightInd w:val="0"/>
        <w:ind w:left="567" w:hanging="567"/>
        <w:contextualSpacing/>
        <w:jc w:val="both"/>
        <w:textAlignment w:val="baseline"/>
        <w:rPr>
          <w:rFonts w:eastAsia="Calibri"/>
        </w:rPr>
      </w:pPr>
      <w:bookmarkStart w:id="10" w:name="_Ref219980114"/>
      <w:r w:rsidRPr="006824F1">
        <w:rPr>
          <w:rFonts w:eastAsia="Calibri"/>
        </w:rPr>
        <w:t xml:space="preserve">Herre, J. and S. Disch, MPEG-I Immersive Audio – Reference Model for the New Virtual / Augmented Reality Audio Standard. J. Audio Eng. Soc., 2023. 71(5): p. </w:t>
      </w:r>
      <w:proofErr w:type="gramStart"/>
      <w:r w:rsidRPr="006824F1">
        <w:rPr>
          <w:rFonts w:eastAsia="Calibri"/>
        </w:rPr>
        <w:t>229..</w:t>
      </w:r>
      <w:proofErr w:type="gramEnd"/>
      <w:r w:rsidRPr="006824F1">
        <w:rPr>
          <w:rFonts w:eastAsia="Calibri"/>
        </w:rPr>
        <w:t xml:space="preserve">240 DOI: </w:t>
      </w:r>
      <w:hyperlink r:id="rId21" w:history="1">
        <w:r w:rsidR="00514FCB" w:rsidRPr="00237272">
          <w:rPr>
            <w:rStyle w:val="Hyperlink"/>
            <w:rFonts w:eastAsia="Calibri"/>
          </w:rPr>
          <w:t>https://</w:t>
        </w:r>
        <w:proofErr w:type="spellStart"/>
        <w:r w:rsidR="00514FCB" w:rsidRPr="00237272">
          <w:rPr>
            <w:rStyle w:val="Hyperlink"/>
            <w:rFonts w:eastAsia="Calibri"/>
          </w:rPr>
          <w:t>doi.org</w:t>
        </w:r>
        <w:proofErr w:type="spellEnd"/>
        <w:r w:rsidR="00514FCB" w:rsidRPr="00237272">
          <w:rPr>
            <w:rStyle w:val="Hyperlink"/>
            <w:rFonts w:eastAsia="Calibri"/>
          </w:rPr>
          <w:t>/10.17743/</w:t>
        </w:r>
        <w:proofErr w:type="spellStart"/>
        <w:r w:rsidR="00514FCB" w:rsidRPr="00237272">
          <w:rPr>
            <w:rStyle w:val="Hyperlink"/>
            <w:rFonts w:eastAsia="Calibri"/>
          </w:rPr>
          <w:t>jaes.2022.0074</w:t>
        </w:r>
        <w:proofErr w:type="spellEnd"/>
      </w:hyperlink>
      <w:bookmarkEnd w:id="10"/>
    </w:p>
    <w:p w14:paraId="50787301" w14:textId="14D1A79A" w:rsidR="00514FCB" w:rsidRPr="003654A1" w:rsidRDefault="00514FCB" w:rsidP="003654A1">
      <w:pPr>
        <w:pStyle w:val="ListParagraph"/>
        <w:widowControl/>
        <w:numPr>
          <w:ilvl w:val="0"/>
          <w:numId w:val="4"/>
        </w:numPr>
        <w:tabs>
          <w:tab w:val="clear" w:pos="792"/>
          <w:tab w:val="num" w:pos="567"/>
        </w:tabs>
        <w:overflowPunct w:val="0"/>
        <w:adjustRightInd w:val="0"/>
        <w:ind w:left="567" w:hanging="567"/>
        <w:contextualSpacing/>
        <w:jc w:val="both"/>
        <w:textAlignment w:val="baseline"/>
        <w:rPr>
          <w:rFonts w:eastAsia="Calibri"/>
        </w:rPr>
      </w:pPr>
      <w:bookmarkStart w:id="11" w:name="_Ref219990635"/>
      <w:r w:rsidRPr="003654A1">
        <w:rPr>
          <w:rFonts w:eastAsia="Calibri"/>
        </w:rPr>
        <w:t xml:space="preserve">S. Disch, L. Terentiv, J. Koppens, T. Falk, J. Leppänen, and I. Munoz, “MPEG-I Immersive Audio – The Technology </w:t>
      </w:r>
      <w:r w:rsidR="00A95695">
        <w:rPr>
          <w:rFonts w:eastAsia="Calibri"/>
        </w:rPr>
        <w:t>o</w:t>
      </w:r>
      <w:r w:rsidRPr="003654A1">
        <w:rPr>
          <w:rFonts w:eastAsia="Calibri"/>
        </w:rPr>
        <w:t xml:space="preserve">f </w:t>
      </w:r>
      <w:r w:rsidR="00A95695">
        <w:rPr>
          <w:rFonts w:eastAsia="Calibri"/>
        </w:rPr>
        <w:t>t</w:t>
      </w:r>
      <w:r w:rsidRPr="003654A1">
        <w:rPr>
          <w:rFonts w:eastAsia="Calibri"/>
        </w:rPr>
        <w:t xml:space="preserve">he New Standard </w:t>
      </w:r>
      <w:r w:rsidR="00A95695">
        <w:rPr>
          <w:rFonts w:eastAsia="Calibri"/>
        </w:rPr>
        <w:t>f</w:t>
      </w:r>
      <w:r w:rsidRPr="003654A1">
        <w:rPr>
          <w:rFonts w:eastAsia="Calibri"/>
        </w:rPr>
        <w:t>or Virtual / Augmented Reality Audio,” AES 159</w:t>
      </w:r>
      <w:r w:rsidRPr="003654A1">
        <w:rPr>
          <w:rFonts w:eastAsia="Calibri"/>
          <w:vertAlign w:val="superscript"/>
        </w:rPr>
        <w:t>th</w:t>
      </w:r>
      <w:r>
        <w:rPr>
          <w:rFonts w:eastAsia="Calibri"/>
        </w:rPr>
        <w:t xml:space="preserve"> </w:t>
      </w:r>
      <w:r w:rsidRPr="003654A1">
        <w:rPr>
          <w:rFonts w:eastAsia="Calibri"/>
        </w:rPr>
        <w:t>AES Conv</w:t>
      </w:r>
      <w:r>
        <w:rPr>
          <w:rFonts w:eastAsia="Calibri"/>
        </w:rPr>
        <w:t>ention, Long Beach, USA</w:t>
      </w:r>
      <w:r w:rsidRPr="003654A1">
        <w:rPr>
          <w:rFonts w:eastAsia="Calibri"/>
        </w:rPr>
        <w:t>. (2025).</w:t>
      </w:r>
      <w:bookmarkEnd w:id="11"/>
      <w:r w:rsidR="00413BB5">
        <w:rPr>
          <w:rFonts w:eastAsia="Calibri"/>
        </w:rPr>
        <w:t xml:space="preserve"> </w:t>
      </w:r>
      <w:hyperlink r:id="rId22" w:history="1">
        <w:r w:rsidR="00413BB5" w:rsidRPr="00345E1E">
          <w:rPr>
            <w:rStyle w:val="Hyperlink"/>
            <w:rFonts w:eastAsia="Calibri"/>
            <w:lang w:val="en-GB"/>
          </w:rPr>
          <w:t>https://</w:t>
        </w:r>
        <w:proofErr w:type="spellStart"/>
        <w:r w:rsidR="00413BB5" w:rsidRPr="00345E1E">
          <w:rPr>
            <w:rStyle w:val="Hyperlink"/>
            <w:rFonts w:eastAsia="Calibri"/>
            <w:lang w:val="en-GB"/>
          </w:rPr>
          <w:t>aes2.org</w:t>
        </w:r>
        <w:proofErr w:type="spellEnd"/>
        <w:r w:rsidR="00413BB5" w:rsidRPr="00345E1E">
          <w:rPr>
            <w:rStyle w:val="Hyperlink"/>
            <w:rFonts w:eastAsia="Calibri"/>
            <w:lang w:val="en-GB"/>
          </w:rPr>
          <w:t>/publications/</w:t>
        </w:r>
        <w:proofErr w:type="spellStart"/>
        <w:r w:rsidR="00413BB5" w:rsidRPr="00345E1E">
          <w:rPr>
            <w:rStyle w:val="Hyperlink"/>
            <w:rFonts w:eastAsia="Calibri"/>
            <w:lang w:val="en-GB"/>
          </w:rPr>
          <w:t>elibrary</w:t>
        </w:r>
        <w:proofErr w:type="spellEnd"/>
        <w:r w:rsidR="00413BB5" w:rsidRPr="00345E1E">
          <w:rPr>
            <w:rStyle w:val="Hyperlink"/>
            <w:rFonts w:eastAsia="Calibri"/>
            <w:lang w:val="en-GB"/>
          </w:rPr>
          <w:t>-page/?id=23078</w:t>
        </w:r>
      </w:hyperlink>
      <w:r w:rsidR="00413BB5">
        <w:rPr>
          <w:rFonts w:eastAsia="Calibri"/>
          <w:lang w:val="en-GB"/>
        </w:rPr>
        <w:t xml:space="preserve"> </w:t>
      </w:r>
    </w:p>
    <w:p w14:paraId="4A124C07" w14:textId="77777777" w:rsidR="00FF2653" w:rsidRPr="00B833CA" w:rsidRDefault="00FF2653" w:rsidP="00D13722">
      <w:pPr>
        <w:pStyle w:val="Heading1"/>
        <w:numPr>
          <w:ilvl w:val="0"/>
          <w:numId w:val="0"/>
        </w:numPr>
        <w:jc w:val="both"/>
      </w:pPr>
    </w:p>
    <w:sectPr w:rsidR="00FF2653" w:rsidRPr="00B833CA" w:rsidSect="00F03F9B">
      <w:pgSz w:w="11900" w:h="16840"/>
      <w:pgMar w:top="540" w:right="98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7DB37" w14:textId="77777777" w:rsidR="006F4C08" w:rsidRDefault="006F4C08" w:rsidP="003C33F8">
      <w:r>
        <w:separator/>
      </w:r>
    </w:p>
  </w:endnote>
  <w:endnote w:type="continuationSeparator" w:id="0">
    <w:p w14:paraId="42F5B0AE" w14:textId="77777777" w:rsidR="006F4C08" w:rsidRDefault="006F4C08" w:rsidP="003C3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5480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8D6658" w14:textId="72E6BB1A" w:rsidR="003C33F8" w:rsidRDefault="003C33F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A104326" w14:textId="77777777" w:rsidR="003C33F8" w:rsidRDefault="003C33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1EA52" w14:textId="77777777" w:rsidR="006F4C08" w:rsidRDefault="006F4C08" w:rsidP="003C33F8">
      <w:r>
        <w:separator/>
      </w:r>
    </w:p>
  </w:footnote>
  <w:footnote w:type="continuationSeparator" w:id="0">
    <w:p w14:paraId="385FCEE0" w14:textId="77777777" w:rsidR="006F4C08" w:rsidRDefault="006F4C08" w:rsidP="003C33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F6DA4"/>
    <w:multiLevelType w:val="multilevel"/>
    <w:tmpl w:val="596E37D4"/>
    <w:lvl w:ilvl="0">
      <w:start w:val="1"/>
      <w:numFmt w:val="decimal"/>
      <w:lvlText w:val="[%1]"/>
      <w:lvlJc w:val="left"/>
      <w:pPr>
        <w:tabs>
          <w:tab w:val="num" w:pos="792"/>
        </w:tabs>
        <w:ind w:left="792" w:hanging="36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312"/>
        </w:tabs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72"/>
        </w:tabs>
        <w:ind w:left="3672" w:hanging="360"/>
      </w:pPr>
      <w:rPr>
        <w:rFonts w:hint="default"/>
      </w:rPr>
    </w:lvl>
  </w:abstractNum>
  <w:abstractNum w:abstractNumId="1" w15:restartNumberingAfterBreak="0">
    <w:nsid w:val="1949290D"/>
    <w:multiLevelType w:val="hybridMultilevel"/>
    <w:tmpl w:val="9E9C2C8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38C511E"/>
    <w:multiLevelType w:val="multilevel"/>
    <w:tmpl w:val="9F22784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347E76E8"/>
    <w:multiLevelType w:val="hybridMultilevel"/>
    <w:tmpl w:val="D2C6886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B37FE"/>
    <w:multiLevelType w:val="hybridMultilevel"/>
    <w:tmpl w:val="76C86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1554AE"/>
    <w:multiLevelType w:val="hybridMultilevel"/>
    <w:tmpl w:val="9ABA41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38458B"/>
    <w:multiLevelType w:val="hybridMultilevel"/>
    <w:tmpl w:val="3BDE11E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1154B"/>
    <w:multiLevelType w:val="hybridMultilevel"/>
    <w:tmpl w:val="3A647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807D5D"/>
    <w:multiLevelType w:val="hybridMultilevel"/>
    <w:tmpl w:val="4DCE3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C85024E"/>
    <w:multiLevelType w:val="hybridMultilevel"/>
    <w:tmpl w:val="349CBF6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B7199"/>
    <w:multiLevelType w:val="hybridMultilevel"/>
    <w:tmpl w:val="8CA64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7C797D"/>
    <w:multiLevelType w:val="hybridMultilevel"/>
    <w:tmpl w:val="F4FAE1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F01A5"/>
    <w:multiLevelType w:val="multilevel"/>
    <w:tmpl w:val="AE3E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814EA5"/>
    <w:multiLevelType w:val="hybridMultilevel"/>
    <w:tmpl w:val="1388B876"/>
    <w:lvl w:ilvl="0" w:tplc="731A33B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C80BBA"/>
    <w:multiLevelType w:val="hybridMultilevel"/>
    <w:tmpl w:val="C72A4E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351DCC"/>
    <w:multiLevelType w:val="multilevel"/>
    <w:tmpl w:val="7EB6A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FC6501"/>
    <w:multiLevelType w:val="hybridMultilevel"/>
    <w:tmpl w:val="54EEA81C"/>
    <w:lvl w:ilvl="0" w:tplc="04070015">
      <w:start w:val="1"/>
      <w:numFmt w:val="decimal"/>
      <w:lvlText w:val="(%1)"/>
      <w:lvlJc w:val="left"/>
      <w:pPr>
        <w:ind w:left="770" w:hanging="360"/>
      </w:pPr>
    </w:lvl>
    <w:lvl w:ilvl="1" w:tplc="08090019" w:tentative="1">
      <w:start w:val="1"/>
      <w:numFmt w:val="lowerLetter"/>
      <w:lvlText w:val="%2."/>
      <w:lvlJc w:val="left"/>
      <w:pPr>
        <w:ind w:left="1490" w:hanging="360"/>
      </w:pPr>
    </w:lvl>
    <w:lvl w:ilvl="2" w:tplc="0809001B" w:tentative="1">
      <w:start w:val="1"/>
      <w:numFmt w:val="lowerRoman"/>
      <w:lvlText w:val="%3."/>
      <w:lvlJc w:val="right"/>
      <w:pPr>
        <w:ind w:left="2210" w:hanging="180"/>
      </w:pPr>
    </w:lvl>
    <w:lvl w:ilvl="3" w:tplc="0809000F" w:tentative="1">
      <w:start w:val="1"/>
      <w:numFmt w:val="decimal"/>
      <w:lvlText w:val="%4."/>
      <w:lvlJc w:val="left"/>
      <w:pPr>
        <w:ind w:left="2930" w:hanging="360"/>
      </w:pPr>
    </w:lvl>
    <w:lvl w:ilvl="4" w:tplc="08090019" w:tentative="1">
      <w:start w:val="1"/>
      <w:numFmt w:val="lowerLetter"/>
      <w:lvlText w:val="%5."/>
      <w:lvlJc w:val="left"/>
      <w:pPr>
        <w:ind w:left="3650" w:hanging="360"/>
      </w:pPr>
    </w:lvl>
    <w:lvl w:ilvl="5" w:tplc="0809001B" w:tentative="1">
      <w:start w:val="1"/>
      <w:numFmt w:val="lowerRoman"/>
      <w:lvlText w:val="%6."/>
      <w:lvlJc w:val="right"/>
      <w:pPr>
        <w:ind w:left="4370" w:hanging="180"/>
      </w:pPr>
    </w:lvl>
    <w:lvl w:ilvl="6" w:tplc="0809000F" w:tentative="1">
      <w:start w:val="1"/>
      <w:numFmt w:val="decimal"/>
      <w:lvlText w:val="%7."/>
      <w:lvlJc w:val="left"/>
      <w:pPr>
        <w:ind w:left="5090" w:hanging="360"/>
      </w:pPr>
    </w:lvl>
    <w:lvl w:ilvl="7" w:tplc="08090019" w:tentative="1">
      <w:start w:val="1"/>
      <w:numFmt w:val="lowerLetter"/>
      <w:lvlText w:val="%8."/>
      <w:lvlJc w:val="left"/>
      <w:pPr>
        <w:ind w:left="5810" w:hanging="360"/>
      </w:pPr>
    </w:lvl>
    <w:lvl w:ilvl="8" w:tplc="0809001B" w:tentative="1">
      <w:start w:val="1"/>
      <w:numFmt w:val="lowerRoman"/>
      <w:lvlText w:val="%9."/>
      <w:lvlJc w:val="right"/>
      <w:pPr>
        <w:ind w:left="6530" w:hanging="180"/>
      </w:pPr>
    </w:lvl>
  </w:abstractNum>
  <w:num w:numId="1" w16cid:durableId="347609057">
    <w:abstractNumId w:val="9"/>
  </w:num>
  <w:num w:numId="2" w16cid:durableId="1119640312">
    <w:abstractNumId w:val="10"/>
  </w:num>
  <w:num w:numId="3" w16cid:durableId="1420446837">
    <w:abstractNumId w:val="2"/>
  </w:num>
  <w:num w:numId="4" w16cid:durableId="2039622097">
    <w:abstractNumId w:val="0"/>
  </w:num>
  <w:num w:numId="5" w16cid:durableId="1071004737">
    <w:abstractNumId w:val="7"/>
  </w:num>
  <w:num w:numId="6" w16cid:durableId="293606715">
    <w:abstractNumId w:val="15"/>
  </w:num>
  <w:num w:numId="7" w16cid:durableId="797719105">
    <w:abstractNumId w:val="1"/>
  </w:num>
  <w:num w:numId="8" w16cid:durableId="1180973621">
    <w:abstractNumId w:val="5"/>
  </w:num>
  <w:num w:numId="9" w16cid:durableId="1899125168">
    <w:abstractNumId w:val="14"/>
  </w:num>
  <w:num w:numId="10" w16cid:durableId="1682272662">
    <w:abstractNumId w:val="17"/>
  </w:num>
  <w:num w:numId="11" w16cid:durableId="1929076641">
    <w:abstractNumId w:val="13"/>
  </w:num>
  <w:num w:numId="12" w16cid:durableId="37246944">
    <w:abstractNumId w:val="12"/>
  </w:num>
  <w:num w:numId="13" w16cid:durableId="1514565778">
    <w:abstractNumId w:val="8"/>
  </w:num>
  <w:num w:numId="14" w16cid:durableId="1735617941">
    <w:abstractNumId w:val="4"/>
  </w:num>
  <w:num w:numId="15" w16cid:durableId="1924684333">
    <w:abstractNumId w:val="3"/>
  </w:num>
  <w:num w:numId="16" w16cid:durableId="274561698">
    <w:abstractNumId w:val="11"/>
  </w:num>
  <w:num w:numId="17" w16cid:durableId="2144497307">
    <w:abstractNumId w:val="18"/>
  </w:num>
  <w:num w:numId="18" w16cid:durableId="1575236632">
    <w:abstractNumId w:val="6"/>
  </w:num>
  <w:num w:numId="19" w16cid:durableId="1008873958">
    <w:abstractNumId w:val="16"/>
  </w:num>
  <w:num w:numId="20" w16cid:durableId="73402313">
    <w:abstractNumId w:val="2"/>
  </w:num>
  <w:num w:numId="21" w16cid:durableId="1343700344">
    <w:abstractNumId w:val="2"/>
  </w:num>
  <w:num w:numId="22" w16cid:durableId="1137644592">
    <w:abstractNumId w:val="2"/>
  </w:num>
  <w:num w:numId="23" w16cid:durableId="576521768">
    <w:abstractNumId w:val="2"/>
  </w:num>
  <w:num w:numId="24" w16cid:durableId="1470131774">
    <w:abstractNumId w:val="2"/>
  </w:num>
  <w:num w:numId="25" w16cid:durableId="945504339">
    <w:abstractNumId w:val="2"/>
  </w:num>
  <w:num w:numId="26" w16cid:durableId="6622029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2076897">
    <w:abstractNumId w:val="2"/>
  </w:num>
  <w:num w:numId="28" w16cid:durableId="1294215364">
    <w:abstractNumId w:val="2"/>
  </w:num>
  <w:num w:numId="29" w16cid:durableId="1121147779">
    <w:abstractNumId w:val="2"/>
  </w:num>
  <w:num w:numId="30" w16cid:durableId="208349295">
    <w:abstractNumId w:val="2"/>
  </w:num>
  <w:num w:numId="31" w16cid:durableId="544760867">
    <w:abstractNumId w:val="2"/>
  </w:num>
  <w:num w:numId="32" w16cid:durableId="969046304">
    <w:abstractNumId w:val="2"/>
  </w:num>
  <w:num w:numId="33" w16cid:durableId="544023973">
    <w:abstractNumId w:val="2"/>
  </w:num>
  <w:num w:numId="34" w16cid:durableId="1028331220">
    <w:abstractNumId w:val="2"/>
  </w:num>
  <w:num w:numId="35" w16cid:durableId="353580855">
    <w:abstractNumId w:val="2"/>
  </w:num>
  <w:num w:numId="36" w16cid:durableId="1720278927">
    <w:abstractNumId w:val="2"/>
  </w:num>
  <w:num w:numId="37" w16cid:durableId="101153321">
    <w:abstractNumId w:val="2"/>
  </w:num>
  <w:num w:numId="38" w16cid:durableId="71632642">
    <w:abstractNumId w:val="2"/>
  </w:num>
  <w:num w:numId="39" w16cid:durableId="1653562903">
    <w:abstractNumId w:val="2"/>
  </w:num>
  <w:num w:numId="40" w16cid:durableId="2137407534">
    <w:abstractNumId w:val="2"/>
  </w:num>
  <w:num w:numId="41" w16cid:durableId="662468996">
    <w:abstractNumId w:val="2"/>
  </w:num>
  <w:num w:numId="42" w16cid:durableId="1678188457">
    <w:abstractNumId w:val="2"/>
  </w:num>
  <w:num w:numId="43" w16cid:durableId="339814051">
    <w:abstractNumId w:val="2"/>
  </w:num>
  <w:num w:numId="44" w16cid:durableId="1440445848">
    <w:abstractNumId w:val="2"/>
  </w:num>
  <w:num w:numId="45" w16cid:durableId="12316213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33102"/>
    <w:rsid w:val="00055BD9"/>
    <w:rsid w:val="000667F5"/>
    <w:rsid w:val="000673DB"/>
    <w:rsid w:val="000678EF"/>
    <w:rsid w:val="000968DA"/>
    <w:rsid w:val="000D4FBA"/>
    <w:rsid w:val="000F0C35"/>
    <w:rsid w:val="000F0CBF"/>
    <w:rsid w:val="0010406A"/>
    <w:rsid w:val="00122929"/>
    <w:rsid w:val="00126E7B"/>
    <w:rsid w:val="00152485"/>
    <w:rsid w:val="00176108"/>
    <w:rsid w:val="00177E4C"/>
    <w:rsid w:val="0018563E"/>
    <w:rsid w:val="001A1F8D"/>
    <w:rsid w:val="001D234D"/>
    <w:rsid w:val="00284075"/>
    <w:rsid w:val="0031607A"/>
    <w:rsid w:val="00356611"/>
    <w:rsid w:val="003654A1"/>
    <w:rsid w:val="00367936"/>
    <w:rsid w:val="003A6E44"/>
    <w:rsid w:val="003B0FC6"/>
    <w:rsid w:val="003C33F8"/>
    <w:rsid w:val="003D05EC"/>
    <w:rsid w:val="003F2E48"/>
    <w:rsid w:val="0040419C"/>
    <w:rsid w:val="0040558C"/>
    <w:rsid w:val="00410770"/>
    <w:rsid w:val="00413BB5"/>
    <w:rsid w:val="00497633"/>
    <w:rsid w:val="004B0C57"/>
    <w:rsid w:val="004B1A2C"/>
    <w:rsid w:val="004E45B6"/>
    <w:rsid w:val="004F619D"/>
    <w:rsid w:val="00514FCB"/>
    <w:rsid w:val="00541E39"/>
    <w:rsid w:val="00544ED2"/>
    <w:rsid w:val="00582D5E"/>
    <w:rsid w:val="00585DA5"/>
    <w:rsid w:val="00587C5A"/>
    <w:rsid w:val="00682266"/>
    <w:rsid w:val="006E7F21"/>
    <w:rsid w:val="006F4C08"/>
    <w:rsid w:val="00731773"/>
    <w:rsid w:val="00743727"/>
    <w:rsid w:val="00777D53"/>
    <w:rsid w:val="007D48FB"/>
    <w:rsid w:val="008521EB"/>
    <w:rsid w:val="00866D79"/>
    <w:rsid w:val="008858E1"/>
    <w:rsid w:val="008F069C"/>
    <w:rsid w:val="00927843"/>
    <w:rsid w:val="009359BA"/>
    <w:rsid w:val="009436C2"/>
    <w:rsid w:val="009636E0"/>
    <w:rsid w:val="009C5AAC"/>
    <w:rsid w:val="009C683B"/>
    <w:rsid w:val="009F08EB"/>
    <w:rsid w:val="00A84E79"/>
    <w:rsid w:val="00A85544"/>
    <w:rsid w:val="00A95695"/>
    <w:rsid w:val="00AB5B00"/>
    <w:rsid w:val="00AF3B4A"/>
    <w:rsid w:val="00B06E57"/>
    <w:rsid w:val="00B27B38"/>
    <w:rsid w:val="00B42EB7"/>
    <w:rsid w:val="00B52F6C"/>
    <w:rsid w:val="00B71F36"/>
    <w:rsid w:val="00B74BDA"/>
    <w:rsid w:val="00B833CA"/>
    <w:rsid w:val="00CB798F"/>
    <w:rsid w:val="00D13722"/>
    <w:rsid w:val="00D17893"/>
    <w:rsid w:val="00D45F40"/>
    <w:rsid w:val="00D506D4"/>
    <w:rsid w:val="00E04939"/>
    <w:rsid w:val="00E3573A"/>
    <w:rsid w:val="00E764CA"/>
    <w:rsid w:val="00EE5116"/>
    <w:rsid w:val="00F03F9B"/>
    <w:rsid w:val="00F146CE"/>
    <w:rsid w:val="00F376B1"/>
    <w:rsid w:val="00F73309"/>
    <w:rsid w:val="00FB55AC"/>
    <w:rsid w:val="00FD6623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;"/>
  <w14:docId w14:val="3ABD1490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link w:val="Heading1Char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9359BA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C33F8"/>
    <w:rPr>
      <w:rFonts w:ascii="Arial" w:eastAsia="Arial" w:hAnsi="Arial" w:cs="Arial"/>
      <w:b/>
      <w:bCs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3C33F8"/>
    <w:pPr>
      <w:widowControl/>
      <w:autoSpaceDE/>
      <w:autoSpaceDN/>
      <w:spacing w:after="200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3C33F8"/>
    <w:pPr>
      <w:widowControl/>
      <w:autoSpaceDE/>
      <w:autoSpaceDN/>
    </w:pPr>
    <w:rPr>
      <w:rFonts w:eastAsiaTheme="minorHAnsi"/>
      <w:sz w:val="24"/>
      <w:szCs w:val="24"/>
    </w:rPr>
  </w:style>
  <w:style w:type="table" w:styleId="TableGrid">
    <w:name w:val="Table Grid"/>
    <w:basedOn w:val="TableNormal"/>
    <w:uiPriority w:val="39"/>
    <w:rsid w:val="003C33F8"/>
    <w:pPr>
      <w:widowControl/>
      <w:autoSpaceDE/>
      <w:autoSpaceDN/>
    </w:pPr>
    <w:rPr>
      <w:rFonts w:eastAsiaTheme="minorHAns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C33F8"/>
    <w:rPr>
      <w:color w:val="808080"/>
    </w:rPr>
  </w:style>
  <w:style w:type="character" w:styleId="HTMLCode">
    <w:name w:val="HTML Code"/>
    <w:basedOn w:val="DefaultParagraphFont"/>
    <w:uiPriority w:val="99"/>
    <w:semiHidden/>
    <w:unhideWhenUsed/>
    <w:rsid w:val="003C33F8"/>
    <w:rPr>
      <w:rFonts w:ascii="Courier New" w:eastAsia="Times New Roman" w:hAnsi="Courier New" w:cs="Courier New"/>
      <w:sz w:val="20"/>
      <w:szCs w:val="20"/>
    </w:rPr>
  </w:style>
  <w:style w:type="character" w:customStyle="1" w:styleId="hljs-number">
    <w:name w:val="hljs-number"/>
    <w:basedOn w:val="DefaultParagraphFont"/>
    <w:rsid w:val="003C33F8"/>
  </w:style>
  <w:style w:type="paragraph" w:styleId="CommentText">
    <w:name w:val="annotation text"/>
    <w:basedOn w:val="Normal"/>
    <w:link w:val="CommentTextChar"/>
    <w:uiPriority w:val="99"/>
    <w:unhideWhenUsed/>
    <w:rsid w:val="003C33F8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33F8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C33F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3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3F8"/>
    <w:rPr>
      <w:rFonts w:eastAsiaTheme="minorHAnsi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3C33F8"/>
    <w:pPr>
      <w:widowControl/>
      <w:autoSpaceDE/>
      <w:autoSpaceDN/>
      <w:jc w:val="center"/>
    </w:pPr>
    <w:rPr>
      <w:rFonts w:ascii="Calibri" w:eastAsiaTheme="minorHAnsi" w:hAnsi="Calibri" w:cs="Calibri"/>
      <w:noProof/>
      <w:sz w:val="24"/>
      <w:szCs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C33F8"/>
    <w:rPr>
      <w:rFonts w:ascii="Calibri" w:eastAsiaTheme="minorHAnsi" w:hAnsi="Calibri" w:cs="Calibri"/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3C33F8"/>
    <w:pPr>
      <w:widowControl/>
      <w:autoSpaceDE/>
      <w:autoSpaceDN/>
    </w:pPr>
    <w:rPr>
      <w:rFonts w:ascii="Calibri" w:eastAsiaTheme="minorHAnsi" w:hAnsi="Calibri" w:cs="Calibri"/>
      <w:noProof/>
      <w:sz w:val="24"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3C33F8"/>
    <w:rPr>
      <w:rFonts w:ascii="Calibri" w:eastAsiaTheme="minorHAnsi" w:hAnsi="Calibri" w:cs="Calibri"/>
      <w:noProof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C33F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3C33F8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C33F8"/>
    <w:rPr>
      <w:rFonts w:eastAsiaTheme="min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33F8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C33F8"/>
    <w:rPr>
      <w:rFonts w:eastAsiaTheme="minorHAnsi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3F8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de-DE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C33F8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de-DE"/>
      <w14:ligatures w14:val="standardContextual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3C33F8"/>
    <w:rPr>
      <w:rFonts w:ascii="Arial" w:eastAsia="Arial" w:hAnsi="Arial" w:cs="Ari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C33F8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33F8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33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doi.org/10.17743/jaes.2022.0074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isotc.iso.org/livelink/livelink/open/jtc1sc29wg6" TargetMode="Externa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www.itu.int/rec/R-REC-BS.1284/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itu.int/rec/R-REC-BS.2132/e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yperlink" Target="https://aes2.org/publications/elibrary-page/?id=230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762117-8292-4133-b1c7-eab5c6487cfd" xsi:nil="true"/>
    <Chapter xmlns="18367693-6ca9-4988-a3bd-286efe665ace" xsi:nil="true"/>
    <lcf76f155ced4ddcb4097134ff3c332f xmlns="18367693-6ca9-4988-a3bd-286efe665ac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AE7EDE10B6CB41B65CE5B5E84AAB52" ma:contentTypeVersion="20" ma:contentTypeDescription="Create a new document." ma:contentTypeScope="" ma:versionID="2b579065dab63ae58f979319e9c18228">
  <xsd:schema xmlns:xsd="http://www.w3.org/2001/XMLSchema" xmlns:xs="http://www.w3.org/2001/XMLSchema" xmlns:p="http://schemas.microsoft.com/office/2006/metadata/properties" xmlns:ns2="18367693-6ca9-4988-a3bd-286efe665ace" xmlns:ns3="a12a5a2a-055f-41f6-b2ce-fc18b39636bd" xmlns:ns4="d8762117-8292-4133-b1c7-eab5c6487cfd" targetNamespace="http://schemas.microsoft.com/office/2006/metadata/properties" ma:root="true" ma:fieldsID="eec28798aed31dc9cabeb14d59229316" ns2:_="" ns3:_="" ns4:_="">
    <xsd:import namespace="18367693-6ca9-4988-a3bd-286efe665ace"/>
    <xsd:import namespace="a12a5a2a-055f-41f6-b2ce-fc18b39636bd"/>
    <xsd:import namespace="d8762117-8292-4133-b1c7-eab5c6487c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2:Chap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367693-6ca9-4988-a3bd-286efe665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3d31b72-c4b9-4223-ac69-1d9539891d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  <xsd:element name="Chapter" ma:index="27" nillable="true" ma:displayName="Chapter" ma:internalName="Chapter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2a5a2a-055f-41f6-b2ce-fc18b39636b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762117-8292-4133-b1c7-eab5c6487cfd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b898a6-35c2-491d-bddf-0561998be827}" ma:internalName="TaxCatchAll" ma:showField="CatchAllData" ma:web="a12a5a2a-055f-41f6-b2ce-fc18b39636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BCB013-2850-4B36-B20D-33384193F963}">
  <ds:schemaRefs>
    <ds:schemaRef ds:uri="http://schemas.microsoft.com/office/2006/metadata/properties"/>
    <ds:schemaRef ds:uri="http://schemas.microsoft.com/office/infopath/2007/PartnerControls"/>
    <ds:schemaRef ds:uri="d8762117-8292-4133-b1c7-eab5c6487cfd"/>
    <ds:schemaRef ds:uri="18367693-6ca9-4988-a3bd-286efe665ace"/>
  </ds:schemaRefs>
</ds:datastoreItem>
</file>

<file path=customXml/itemProps2.xml><?xml version="1.0" encoding="utf-8"?>
<ds:datastoreItem xmlns:ds="http://schemas.openxmlformats.org/officeDocument/2006/customXml" ds:itemID="{36F0BA62-20D6-401E-A29E-1E0B35E356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76581A-FDF9-45B9-92F3-5E063573B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367693-6ca9-4988-a3bd-286efe665ace"/>
    <ds:schemaRef ds:uri="a12a5a2a-055f-41f6-b2ce-fc18b39636bd"/>
    <ds:schemaRef ds:uri="d8762117-8292-4133-b1c7-eab5c6487c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D1DB6D-B097-48E4-B8C9-E12EC3F3B2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1384</Words>
  <Characters>7894</Characters>
  <Application>Microsoft Office Word</Application>
  <DocSecurity>0</DocSecurity>
  <Lines>65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Sporer, Thomas</dc:creator>
  <cp:lastModifiedBy>Silzle, Andreas</cp:lastModifiedBy>
  <cp:revision>6</cp:revision>
  <dcterms:created xsi:type="dcterms:W3CDTF">2026-01-23T07:42:00Z</dcterms:created>
  <dcterms:modified xsi:type="dcterms:W3CDTF">2026-01-23T09:09:00Z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0x0101001DAE7EDE10B6CB41B65CE5B5E84AAB52</vt:lpwstr>
  </property>
  <property fmtid="{D5CDD505-2E9C-101B-9397-08002B2CF9AE}" pid="3" name="MediaServiceImageTags">
    <vt:lpwstr/>
  </property>
</Properties>
</file>