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0B7038A" w:rsidR="00CB798F" w:rsidRPr="00786B3E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786B3E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786B3E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B53DA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1632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786B3E" w:rsidRDefault="00CB798F">
      <w:pPr>
        <w:rPr>
          <w:b/>
          <w:sz w:val="20"/>
          <w:lang w:val="en-GB"/>
        </w:rPr>
      </w:pPr>
    </w:p>
    <w:p w14:paraId="1C7F2D41" w14:textId="3CA79274" w:rsidR="00CB798F" w:rsidRPr="00786B3E" w:rsidRDefault="00CB798F">
      <w:pPr>
        <w:rPr>
          <w:b/>
          <w:sz w:val="20"/>
          <w:lang w:val="en-GB"/>
        </w:rPr>
      </w:pPr>
    </w:p>
    <w:p w14:paraId="55F7DB2C" w14:textId="25F357F6" w:rsidR="00CB798F" w:rsidRPr="00786B3E" w:rsidRDefault="00E843CE">
      <w:pPr>
        <w:spacing w:before="3"/>
        <w:rPr>
          <w:b/>
          <w:sz w:val="23"/>
          <w:lang w:val="en-GB"/>
        </w:rPr>
      </w:pPr>
      <w:r w:rsidRPr="00786B3E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786B3E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3694AFE" w:rsidR="00CB798F" w:rsidRPr="00786B3E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E6E33">
        <w:rPr>
          <w:rFonts w:ascii="Times New Roman" w:hAnsi="Times New Roman" w:cs="Times New Roman"/>
          <w:snapToGrid w:val="0"/>
          <w:lang w:val="en-GB"/>
        </w:rPr>
        <w:t>WD of ISO/IEC 13818-1 10th edition AMD 1 - Improvement for the transport of MPEG-Green</w: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786B3E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433CB8E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53DA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2025-10-11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3EAFA6C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E6E3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786B3E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786B3E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B0776CA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786B3E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786B3E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786B3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996C8C9" w:rsidR="00385C5D" w:rsidRPr="00786B3E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53DA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1632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3B47C6F" w:rsidR="00954B0D" w:rsidRPr="00786B3E" w:rsidRDefault="00F576E6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Daejeon, KR</w:t>
      </w:r>
      <w:r w:rsidR="00A25A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D55C9C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A25A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786B3E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DA457A1" w:rsidR="00954B0D" w:rsidRPr="00786B3E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6E3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13818-1 10th edition AMD 1 - Improvement for the transport of MPEG-Green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786B3E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86B3E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786B3E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786B3E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A334D08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B53D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25606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A414E06" w14:textId="77777777" w:rsidR="005453D7" w:rsidRPr="005453D7" w:rsidRDefault="005453D7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Scope</w:t>
      </w:r>
    </w:p>
    <w:p w14:paraId="365B3E55" w14:textId="5564F1B2" w:rsidR="005453D7" w:rsidRP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document provides a working draft for ISO/IEC 13818-1 </w:t>
      </w:r>
      <w:r w:rsidRPr="00BE448C">
        <w:rPr>
          <w:rFonts w:ascii="Times New Roman" w:hAnsi="Times New Roman" w:cs="Times New Roman"/>
          <w:lang w:val="en-GB" w:eastAsia="en-GB"/>
        </w:rPr>
        <w:t>10</w:t>
      </w:r>
      <w:r w:rsidRPr="005453D7">
        <w:rPr>
          <w:rFonts w:ascii="Times New Roman" w:hAnsi="Times New Roman" w:cs="Times New Roman"/>
          <w:lang w:val="en-GB" w:eastAsia="en-GB"/>
        </w:rPr>
        <w:t xml:space="preserve">th edition </w:t>
      </w:r>
      <w:proofErr w:type="spellStart"/>
      <w:r w:rsidRPr="005453D7">
        <w:rPr>
          <w:rFonts w:ascii="Times New Roman" w:hAnsi="Times New Roman" w:cs="Times New Roman"/>
          <w:lang w:val="en-GB" w:eastAsia="en-GB"/>
        </w:rPr>
        <w:t>Amd</w:t>
      </w:r>
      <w:proofErr w:type="spellEnd"/>
      <w:r w:rsidRPr="005453D7">
        <w:rPr>
          <w:rFonts w:ascii="Times New Roman" w:hAnsi="Times New Roman" w:cs="Times New Roman"/>
          <w:lang w:val="en-GB" w:eastAsia="en-GB"/>
        </w:rPr>
        <w:t>. 1, "</w:t>
      </w:r>
      <w:r w:rsidRPr="00BE448C">
        <w:rPr>
          <w:rFonts w:ascii="Times New Roman" w:hAnsi="Times New Roman" w:cs="Times New Roman"/>
          <w:lang w:val="en-GB" w:eastAsia="en-GB"/>
        </w:rPr>
        <w:t>Improvements for the transport of MPEG-GREEN</w:t>
      </w:r>
      <w:r w:rsidRPr="005453D7">
        <w:rPr>
          <w:rFonts w:ascii="Times New Roman" w:hAnsi="Times New Roman" w:cs="Times New Roman"/>
          <w:lang w:val="en-GB" w:eastAsia="en-GB"/>
        </w:rPr>
        <w:t xml:space="preserve">". </w:t>
      </w:r>
    </w:p>
    <w:p w14:paraId="657309FC" w14:textId="50AAE45F" w:rsid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Amendment clarifies the </w:t>
      </w:r>
      <w:r w:rsidRPr="00BE448C">
        <w:rPr>
          <w:rFonts w:ascii="Times New Roman" w:hAnsi="Times New Roman" w:cs="Times New Roman"/>
          <w:lang w:val="en-GB" w:eastAsia="en-GB"/>
        </w:rPr>
        <w:t xml:space="preserve">mandatory </w:t>
      </w:r>
      <w:r w:rsidRPr="005453D7">
        <w:rPr>
          <w:rFonts w:ascii="Times New Roman" w:hAnsi="Times New Roman" w:cs="Times New Roman"/>
          <w:lang w:val="en-GB" w:eastAsia="en-GB"/>
        </w:rPr>
        <w:t xml:space="preserve">usage of </w:t>
      </w:r>
      <w:r w:rsidRPr="00BE448C">
        <w:rPr>
          <w:rFonts w:ascii="Times New Roman" w:hAnsi="Times New Roman" w:cs="Times New Roman"/>
          <w:lang w:val="en-GB" w:eastAsia="en-GB"/>
        </w:rPr>
        <w:t>the</w:t>
      </w:r>
      <w:r w:rsidRPr="005453D7">
        <w:rPr>
          <w:rFonts w:ascii="Times New Roman" w:hAnsi="Times New Roman" w:cs="Times New Roman"/>
          <w:lang w:val="en-GB" w:eastAsia="en-GB"/>
        </w:rPr>
        <w:t xml:space="preserve"> </w:t>
      </w:r>
      <w:r w:rsidRPr="00BE448C">
        <w:rPr>
          <w:rFonts w:ascii="Times New Roman" w:hAnsi="Times New Roman" w:cs="Times New Roman"/>
          <w:lang w:val="en-GB" w:eastAsia="en-GB"/>
        </w:rPr>
        <w:t xml:space="preserve">Green Extension </w:t>
      </w:r>
      <w:r w:rsidRPr="005453D7">
        <w:rPr>
          <w:rFonts w:ascii="Times New Roman" w:hAnsi="Times New Roman" w:cs="Times New Roman"/>
          <w:lang w:val="en-GB" w:eastAsia="en-GB"/>
        </w:rPr>
        <w:t>descriptor</w:t>
      </w:r>
      <w:r w:rsidR="00BE448C" w:rsidRPr="00BE448C">
        <w:rPr>
          <w:rFonts w:ascii="Times New Roman" w:hAnsi="Times New Roman" w:cs="Times New Roman"/>
          <w:lang w:val="en-GB" w:eastAsia="en-GB"/>
        </w:rPr>
        <w:t xml:space="preserve"> in streams that contain Green Access Units</w:t>
      </w:r>
      <w:r w:rsidRPr="005453D7">
        <w:rPr>
          <w:rFonts w:ascii="Times New Roman" w:hAnsi="Times New Roman" w:cs="Times New Roman"/>
          <w:lang w:val="en-GB" w:eastAsia="en-GB"/>
        </w:rPr>
        <w:t xml:space="preserve">, assuring the proper application of the standard. </w:t>
      </w:r>
    </w:p>
    <w:p w14:paraId="600939A7" w14:textId="452807DB" w:rsidR="008F40D3" w:rsidRPr="00D66A05" w:rsidRDefault="008F40D3" w:rsidP="00BE448C">
      <w:pPr>
        <w:spacing w:after="120"/>
        <w:rPr>
          <w:rFonts w:asciiTheme="minorHAnsi" w:hAnsiTheme="minorHAnsi" w:cstheme="minorHAnsi"/>
          <w:lang w:val="en-GB" w:eastAsia="en-GB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We </w:t>
      </w:r>
      <w:r w:rsidR="00890735" w:rsidRPr="00D66A05">
        <w:rPr>
          <w:rFonts w:asciiTheme="minorHAnsi" w:hAnsiTheme="minorHAnsi" w:cstheme="minorHAnsi"/>
          <w:lang w:val="en-GB" w:eastAsia="en-GB"/>
        </w:rPr>
        <w:t xml:space="preserve">also </w:t>
      </w:r>
      <w:r w:rsidRPr="00D66A05">
        <w:rPr>
          <w:rFonts w:asciiTheme="minorHAnsi" w:hAnsiTheme="minorHAnsi" w:cstheme="minorHAnsi"/>
          <w:lang w:val="en-GB" w:eastAsia="en-GB"/>
        </w:rPr>
        <w:t>need to improve the handling of tuning into an ongoing program (random access). &gt;&gt;</w:t>
      </w:r>
    </w:p>
    <w:p w14:paraId="0952F0DA" w14:textId="7541377F" w:rsidR="005453D7" w:rsidRPr="005453D7" w:rsidRDefault="005453D7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Problem description</w:t>
      </w:r>
    </w:p>
    <w:p w14:paraId="3D73E8E9" w14:textId="77777777" w:rsidR="00B2004C" w:rsidRPr="00BE448C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In the 9th edition of the ISO/IEC 13818-1 specification, a Green Access Unit is defined which syntax uses some metadata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num_constant_backlight_voltage_time_intervals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 and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num_max_variations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, without defining their values. These metadata are defined in a Green Extension Descriptor. This implies that a Green Extension Descriptor </w:t>
      </w:r>
      <w:r w:rsidR="00B2004C" w:rsidRPr="00BE448C">
        <w:rPr>
          <w:rFonts w:ascii="Times New Roman" w:hAnsi="Times New Roman" w:cs="Times New Roman"/>
          <w:lang w:val="en-GB" w:eastAsia="en-GB"/>
        </w:rPr>
        <w:t>needs to</w:t>
      </w:r>
      <w:r w:rsidRPr="00E31ECB">
        <w:rPr>
          <w:rFonts w:ascii="Times New Roman" w:hAnsi="Times New Roman" w:cs="Times New Roman"/>
          <w:lang w:val="en-GB" w:eastAsia="en-GB"/>
        </w:rPr>
        <w:t xml:space="preserve"> be signalled in the transport stream before the Green Access Unit is </w:t>
      </w:r>
      <w:r w:rsidR="00B2004C" w:rsidRPr="00BE448C">
        <w:rPr>
          <w:rFonts w:ascii="Times New Roman" w:hAnsi="Times New Roman" w:cs="Times New Roman"/>
          <w:lang w:val="en-GB" w:eastAsia="en-GB"/>
        </w:rPr>
        <w:t>sent</w:t>
      </w:r>
      <w:r w:rsidRPr="00E31ECB">
        <w:rPr>
          <w:rFonts w:ascii="Times New Roman" w:hAnsi="Times New Roman" w:cs="Times New Roman"/>
          <w:lang w:val="en-GB" w:eastAsia="en-GB"/>
        </w:rPr>
        <w:t xml:space="preserve">. </w:t>
      </w:r>
    </w:p>
    <w:p w14:paraId="4AB5FE98" w14:textId="20B0E5FD" w:rsidR="00E31ECB" w:rsidRPr="00E31ECB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However, the </w:t>
      </w:r>
      <w:r w:rsidR="00B2004C" w:rsidRPr="00BE448C">
        <w:rPr>
          <w:rFonts w:ascii="Times New Roman" w:hAnsi="Times New Roman" w:cs="Times New Roman"/>
          <w:lang w:val="en-GB" w:eastAsia="en-GB"/>
        </w:rPr>
        <w:t>10</w:t>
      </w:r>
      <w:r w:rsidRPr="00E31ECB">
        <w:rPr>
          <w:rFonts w:ascii="Times New Roman" w:hAnsi="Times New Roman" w:cs="Times New Roman"/>
          <w:lang w:val="en-GB" w:eastAsia="en-GB"/>
        </w:rPr>
        <w:t>th edition of the ISO/IEC 13818-1 specification does not provide any guidance towards this.</w:t>
      </w:r>
    </w:p>
    <w:p w14:paraId="46543303" w14:textId="7931BED9" w:rsidR="00E31ECB" w:rsidRPr="00E31ECB" w:rsidRDefault="00B2004C" w:rsidP="00BE448C">
      <w:pPr>
        <w:spacing w:after="120"/>
        <w:rPr>
          <w:rFonts w:ascii="Times New Roman" w:hAnsi="Times New Roman" w:cs="Times New Roman"/>
        </w:rPr>
      </w:pPr>
      <w:r w:rsidRPr="00BE448C">
        <w:rPr>
          <w:rFonts w:ascii="Times New Roman" w:hAnsi="Times New Roman" w:cs="Times New Roman"/>
          <w:lang w:val="en-CA"/>
        </w:rPr>
        <w:t>This amendment of</w:t>
      </w:r>
      <w:r w:rsidR="00E31ECB" w:rsidRPr="00E31ECB">
        <w:rPr>
          <w:rFonts w:ascii="Times New Roman" w:hAnsi="Times New Roman" w:cs="Times New Roman"/>
          <w:lang w:val="en-CA"/>
        </w:rPr>
        <w:t xml:space="preserve"> ISO/IEC 13818-1 specifi</w:t>
      </w:r>
      <w:r w:rsidRPr="00BE448C">
        <w:rPr>
          <w:rFonts w:ascii="Times New Roman" w:hAnsi="Times New Roman" w:cs="Times New Roman"/>
          <w:lang w:val="en-CA"/>
        </w:rPr>
        <w:t>es</w:t>
      </w:r>
      <w:r w:rsidR="00E31ECB" w:rsidRPr="00E31ECB">
        <w:rPr>
          <w:rFonts w:ascii="Times New Roman" w:hAnsi="Times New Roman" w:cs="Times New Roman"/>
          <w:lang w:val="en-CA"/>
        </w:rPr>
        <w:t xml:space="preserve"> the ordering of signalling between the two messages (</w:t>
      </w:r>
      <w:r w:rsidR="00E31ECB" w:rsidRPr="00E31ECB">
        <w:rPr>
          <w:rFonts w:ascii="Times New Roman" w:hAnsi="Times New Roman" w:cs="Times New Roman"/>
          <w:highlight w:val="yellow"/>
          <w:lang w:val="en-CA"/>
        </w:rPr>
        <w:t>changes highlighted in yellow</w:t>
      </w:r>
      <w:r w:rsidR="00E31ECB" w:rsidRPr="00E31ECB">
        <w:rPr>
          <w:rFonts w:ascii="Times New Roman" w:hAnsi="Times New Roman" w:cs="Times New Roman"/>
          <w:lang w:val="en-CA"/>
        </w:rPr>
        <w:t>).</w:t>
      </w:r>
    </w:p>
    <w:p w14:paraId="57130301" w14:textId="7CA8B095" w:rsidR="00E31ECB" w:rsidRPr="00E31ECB" w:rsidRDefault="00E31ECB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E31ECB">
        <w:rPr>
          <w:sz w:val="22"/>
          <w:szCs w:val="22"/>
        </w:rPr>
        <w:t>Propos</w:t>
      </w:r>
      <w:r w:rsidR="005453D7" w:rsidRPr="00BE448C">
        <w:rPr>
          <w:sz w:val="22"/>
          <w:szCs w:val="22"/>
        </w:rPr>
        <w:t>ed Changes</w:t>
      </w:r>
    </w:p>
    <w:p w14:paraId="00429F75" w14:textId="45769AAF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t>A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dd the following text at the beginning of subclause 2.6.104:</w:t>
      </w:r>
    </w:p>
    <w:p w14:paraId="73FE333F" w14:textId="77777777" w:rsid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shall be sent once per event or program and hence is signalled using a descriptor in the program map table. This descriptor shall appear in the elementary stream loop of the PID for which green information is provided.</w:t>
      </w:r>
    </w:p>
    <w:p w14:paraId="0E516F0E" w14:textId="5A5ACD28" w:rsidR="00D66A05" w:rsidRPr="00D66A05" w:rsidRDefault="00D66A05" w:rsidP="00BE448C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T</w:t>
      </w:r>
      <w:r w:rsidRPr="00D66A05">
        <w:rPr>
          <w:rFonts w:asciiTheme="minorHAnsi" w:hAnsiTheme="minorHAnsi" w:cstheme="minorHAnsi"/>
          <w:lang w:val="en-GB" w:eastAsia="en-GB"/>
        </w:rPr>
        <w:t xml:space="preserve">he green extension descriptor should be inserted in a PMT at the beginning of a program that includes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information, before the first Green AU is transmitted, and repeated in PMT sections after that as long as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is  included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 that program. &gt;&gt;</w:t>
      </w:r>
    </w:p>
    <w:p w14:paraId="7A00E902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 xml:space="preserve">Dynamic green metadata is stored in access units and is associated with one or more video frames. </w:t>
      </w:r>
      <w:r w:rsidRPr="00E31ECB">
        <w:rPr>
          <w:rFonts w:ascii="Times New Roman" w:hAnsi="Times New Roman" w:cs="Times New Roman"/>
          <w:highlight w:val="yellow"/>
        </w:rPr>
        <w:t xml:space="preserve">These access units are encapsulated in MPEG sections identified by </w:t>
      </w:r>
      <w:proofErr w:type="spellStart"/>
      <w:r w:rsidRPr="00E31ECB">
        <w:rPr>
          <w:rFonts w:ascii="Times New Roman" w:hAnsi="Times New Roman" w:cs="Times New Roman"/>
          <w:highlight w:val="yellow"/>
        </w:rPr>
        <w:t>stream_type</w:t>
      </w:r>
      <w:proofErr w:type="spellEnd"/>
      <w:r w:rsidRPr="00E31ECB">
        <w:rPr>
          <w:rFonts w:ascii="Times New Roman" w:hAnsi="Times New Roman" w:cs="Times New Roman"/>
          <w:highlight w:val="yellow"/>
        </w:rPr>
        <w:t xml:space="preserve"> value of 0x2C</w:t>
      </w:r>
      <w:r w:rsidRPr="00E31ECB">
        <w:rPr>
          <w:rFonts w:ascii="Times New Roman" w:hAnsi="Times New Roman" w:cs="Times New Roman"/>
          <w:highlight w:val="yellow"/>
          <w:lang w:val="en-CA"/>
        </w:rPr>
        <w:t>.</w:t>
      </w:r>
    </w:p>
    <w:p w14:paraId="0FF7DE27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describes the different constant backlight voltage time intervals and the maximal variations that are used, and their numbers that are used in each Green Access Unit.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5B15E37A" w14:textId="73B65EFE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lastRenderedPageBreak/>
        <w:t>In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2.18.3</w:t>
      </w:r>
      <w:r w:rsidRPr="00BE448C">
        <w:rPr>
          <w:rFonts w:ascii="Times New Roman" w:eastAsia="Times New Roman" w:hAnsi="Times New Roman"/>
          <w:i/>
          <w:lang w:val="en-GB" w:eastAsia="en-GB"/>
        </w:rPr>
        <w:t>,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replac</w:t>
      </w:r>
      <w:r w:rsidRPr="00BE448C">
        <w:rPr>
          <w:rFonts w:ascii="Times New Roman" w:eastAsia="Times New Roman" w:hAnsi="Times New Roman"/>
          <w:i/>
          <w:lang w:val="en-GB" w:eastAsia="en-GB"/>
        </w:rPr>
        <w:t>e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:</w:t>
      </w:r>
    </w:p>
    <w:p w14:paraId="71C4999B" w14:textId="77777777" w:rsidR="00E31ECB" w:rsidRP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</w:t>
      </w:r>
    </w:p>
    <w:p w14:paraId="76818E68" w14:textId="77777777" w:rsidR="00E31ECB" w:rsidRPr="00E31ECB" w:rsidRDefault="00E31ECB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E31ECB">
        <w:rPr>
          <w:rFonts w:ascii="Times New Roman" w:eastAsia="Times New Roman" w:hAnsi="Times New Roman"/>
          <w:i/>
          <w:lang w:val="en-GB" w:eastAsia="en-GB"/>
        </w:rPr>
        <w:t>With:</w:t>
      </w:r>
    </w:p>
    <w:p w14:paraId="6341229E" w14:textId="77777777" w:rsid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 </w:t>
      </w:r>
      <w:r w:rsidRPr="00E31ECB">
        <w:rPr>
          <w:rFonts w:ascii="Times New Roman" w:hAnsi="Times New Roman" w:cs="Times New Roman"/>
          <w:highlight w:val="yellow"/>
          <w:lang w:val="en-CA"/>
        </w:rPr>
        <w:t xml:space="preserve">A green extension descriptor shall be signalled in the transport stream before the signalling of the first </w:t>
      </w:r>
      <w:proofErr w:type="spellStart"/>
      <w:r w:rsidRPr="00E31ECB">
        <w:rPr>
          <w:rFonts w:ascii="Times New Roman" w:hAnsi="Times New Roman" w:cs="Times New Roman"/>
          <w:highlight w:val="yellow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highlight w:val="yellow"/>
          <w:lang w:val="en-CA"/>
        </w:rPr>
        <w:t>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2FC32576" w14:textId="6104F89D" w:rsidR="009C148E" w:rsidRPr="00D66A05" w:rsidRDefault="009C148E" w:rsidP="009C148E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A</w:t>
      </w:r>
      <w:r w:rsidRPr="009C148E">
        <w:rPr>
          <w:rFonts w:asciiTheme="minorHAnsi" w:hAnsiTheme="minorHAnsi" w:cstheme="minorHAnsi"/>
          <w:lang w:val="en-GB" w:eastAsia="en-GB"/>
        </w:rPr>
        <w:t xml:space="preserve">ny Green AU sections should be silently ignored until the values for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num_constant_backlight_voltage_time_intervals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and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num_max_variations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are obtained from the green extension descriptor in the PMT</w:t>
      </w:r>
      <w:r w:rsidR="00541590">
        <w:rPr>
          <w:rFonts w:asciiTheme="minorHAnsi" w:hAnsiTheme="minorHAnsi" w:cstheme="minorHAnsi"/>
          <w:lang w:val="en-GB" w:eastAsia="en-GB"/>
        </w:rPr>
        <w:t xml:space="preserve">. </w:t>
      </w:r>
      <w:r w:rsidRPr="00D66A05">
        <w:rPr>
          <w:rFonts w:asciiTheme="minorHAnsi" w:hAnsiTheme="minorHAnsi" w:cstheme="minorHAnsi"/>
          <w:lang w:val="en-GB" w:eastAsia="en-GB"/>
        </w:rPr>
        <w:t>&gt;&gt;</w:t>
      </w:r>
    </w:p>
    <w:p w14:paraId="44B33E8E" w14:textId="77777777" w:rsidR="009C148E" w:rsidRPr="00E31ECB" w:rsidRDefault="009C148E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</w:p>
    <w:p w14:paraId="3199C0BD" w14:textId="77777777" w:rsidR="00E31ECB" w:rsidRPr="00E31ECB" w:rsidRDefault="00E31ECB" w:rsidP="00E31ECB">
      <w:pPr>
        <w:rPr>
          <w:rFonts w:ascii="Times New Roman" w:hAnsi="Times New Roman" w:cs="Times New Roman"/>
          <w:b/>
          <w:bCs/>
        </w:rPr>
      </w:pPr>
      <w:r w:rsidRPr="00E31ECB">
        <w:rPr>
          <w:rFonts w:ascii="Times New Roman" w:hAnsi="Times New Roman" w:cs="Times New Roman"/>
          <w:b/>
          <w:bCs/>
        </w:rPr>
        <w:t>References</w:t>
      </w:r>
    </w:p>
    <w:p w14:paraId="7283DD5C" w14:textId="77777777" w:rsidR="00E31ECB" w:rsidRPr="00E31ECB" w:rsidRDefault="00E31ECB" w:rsidP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[1] ISO/IEC  23001-11 Energy-Efficient Media Consumption (Green Metadata).</w:t>
      </w:r>
    </w:p>
    <w:p w14:paraId="2E3E7174" w14:textId="7C706082" w:rsidR="00BC1590" w:rsidRPr="00BE448C" w:rsidRDefault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[2] ISO/IEC  23001-11 (AMD 2) Energy-Efficient Media Consumption (Green Metadata).</w:t>
      </w:r>
    </w:p>
    <w:p w14:paraId="44C38740" w14:textId="06AABBA1" w:rsidR="005453D7" w:rsidRDefault="00BE448C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3</w:t>
      </w:r>
      <w:r w:rsidRPr="00E31ECB">
        <w:rPr>
          <w:rFonts w:ascii="Times New Roman" w:hAnsi="Times New Roman" w:cs="Times New Roman"/>
        </w:rPr>
        <w:t xml:space="preserve">] </w:t>
      </w:r>
      <w:r w:rsidR="005453D7" w:rsidRPr="00BE448C">
        <w:rPr>
          <w:rFonts w:ascii="Times New Roman" w:hAnsi="Times New Roman" w:cs="Times New Roman"/>
          <w:lang w:val="en-GB"/>
        </w:rPr>
        <w:t>https://git.mpeg.expert/MPEG/Systems/MPEG2-System/defects_under-investigation/-/issues/4</w:t>
      </w:r>
    </w:p>
    <w:p w14:paraId="7511E4A6" w14:textId="7257FC7E" w:rsidR="00F576E6" w:rsidRPr="00BE448C" w:rsidRDefault="00F576E6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4</w:t>
      </w:r>
      <w:r w:rsidRPr="00E31E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F576E6">
        <w:rPr>
          <w:rFonts w:ascii="Times New Roman" w:hAnsi="Times New Roman" w:cs="Times New Roman"/>
        </w:rPr>
        <w:t>ISO/IEC JTC 1/SC 29/WG 03 N1517</w:t>
      </w:r>
      <w:r w:rsidR="00E25F3E">
        <w:rPr>
          <w:rFonts w:ascii="Times New Roman" w:hAnsi="Times New Roman" w:cs="Times New Roman"/>
        </w:rPr>
        <w:t xml:space="preserve"> (MDMS </w:t>
      </w:r>
      <w:r w:rsidR="00E25F3E" w:rsidRPr="00E25F3E">
        <w:rPr>
          <w:rFonts w:ascii="Times New Roman" w:hAnsi="Times New Roman" w:cs="Times New Roman"/>
        </w:rPr>
        <w:t>25053</w:t>
      </w:r>
      <w:r w:rsidR="00E25F3E">
        <w:rPr>
          <w:rFonts w:ascii="Times New Roman" w:hAnsi="Times New Roman" w:cs="Times New Roman"/>
        </w:rPr>
        <w:t xml:space="preserve">) </w:t>
      </w:r>
    </w:p>
    <w:sectPr w:rsidR="00F576E6" w:rsidRPr="00BE448C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7AB89" w14:textId="77777777" w:rsidR="007C02CE" w:rsidRDefault="007C02CE" w:rsidP="009E784A">
      <w:r>
        <w:separator/>
      </w:r>
    </w:p>
  </w:endnote>
  <w:endnote w:type="continuationSeparator" w:id="0">
    <w:p w14:paraId="37FDD04B" w14:textId="77777777" w:rsidR="007C02CE" w:rsidRDefault="007C02C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0714E" w:rsidRPr="00E0681D" w:rsidRDefault="0060714E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5A4C0" w14:textId="77777777" w:rsidR="007C02CE" w:rsidRDefault="007C02CE" w:rsidP="009E784A">
      <w:r>
        <w:separator/>
      </w:r>
    </w:p>
  </w:footnote>
  <w:footnote w:type="continuationSeparator" w:id="0">
    <w:p w14:paraId="6408403C" w14:textId="77777777" w:rsidR="007C02CE" w:rsidRDefault="007C02C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0714E" w:rsidRPr="00E0681D" w:rsidRDefault="0060714E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457D0A"/>
    <w:multiLevelType w:val="hybridMultilevel"/>
    <w:tmpl w:val="6114B5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9947751">
    <w:abstractNumId w:val="0"/>
  </w:num>
  <w:num w:numId="2" w16cid:durableId="1053432210">
    <w:abstractNumId w:val="1"/>
  </w:num>
  <w:num w:numId="3" w16cid:durableId="1689603947">
    <w:abstractNumId w:val="2"/>
  </w:num>
  <w:num w:numId="4" w16cid:durableId="1875462870">
    <w:abstractNumId w:val="4"/>
  </w:num>
  <w:num w:numId="5" w16cid:durableId="145937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44"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ECE"/>
    <w:rsid w:val="00073AF5"/>
    <w:rsid w:val="000968DA"/>
    <w:rsid w:val="000C78E6"/>
    <w:rsid w:val="001360FF"/>
    <w:rsid w:val="00147870"/>
    <w:rsid w:val="0017051E"/>
    <w:rsid w:val="0018563E"/>
    <w:rsid w:val="00195FF0"/>
    <w:rsid w:val="00196997"/>
    <w:rsid w:val="001E18A9"/>
    <w:rsid w:val="00263789"/>
    <w:rsid w:val="002919CE"/>
    <w:rsid w:val="003226C8"/>
    <w:rsid w:val="00385C5D"/>
    <w:rsid w:val="003B0FC6"/>
    <w:rsid w:val="003F4C08"/>
    <w:rsid w:val="004C352E"/>
    <w:rsid w:val="004E45B6"/>
    <w:rsid w:val="004F5473"/>
    <w:rsid w:val="005151E2"/>
    <w:rsid w:val="00540DEA"/>
    <w:rsid w:val="00541590"/>
    <w:rsid w:val="005453D7"/>
    <w:rsid w:val="005612C2"/>
    <w:rsid w:val="005C2A51"/>
    <w:rsid w:val="0060714E"/>
    <w:rsid w:val="00622C6C"/>
    <w:rsid w:val="0063127E"/>
    <w:rsid w:val="00651912"/>
    <w:rsid w:val="006E6E33"/>
    <w:rsid w:val="00786B3E"/>
    <w:rsid w:val="00790396"/>
    <w:rsid w:val="007C02CE"/>
    <w:rsid w:val="007F537F"/>
    <w:rsid w:val="00804D88"/>
    <w:rsid w:val="00805670"/>
    <w:rsid w:val="00827179"/>
    <w:rsid w:val="00881CCB"/>
    <w:rsid w:val="00890735"/>
    <w:rsid w:val="008E7795"/>
    <w:rsid w:val="008F40D3"/>
    <w:rsid w:val="00954B0D"/>
    <w:rsid w:val="009636E0"/>
    <w:rsid w:val="00980E7B"/>
    <w:rsid w:val="00990809"/>
    <w:rsid w:val="009B09C2"/>
    <w:rsid w:val="009C148E"/>
    <w:rsid w:val="009C464E"/>
    <w:rsid w:val="009C5AAC"/>
    <w:rsid w:val="009D5D9F"/>
    <w:rsid w:val="009E784A"/>
    <w:rsid w:val="00A25AC7"/>
    <w:rsid w:val="00A36A1C"/>
    <w:rsid w:val="00B10D58"/>
    <w:rsid w:val="00B2004C"/>
    <w:rsid w:val="00B24CCE"/>
    <w:rsid w:val="00B53DA7"/>
    <w:rsid w:val="00B62642"/>
    <w:rsid w:val="00BA60FC"/>
    <w:rsid w:val="00BC1590"/>
    <w:rsid w:val="00BE448C"/>
    <w:rsid w:val="00C00EE5"/>
    <w:rsid w:val="00C5139C"/>
    <w:rsid w:val="00C955C7"/>
    <w:rsid w:val="00CB798F"/>
    <w:rsid w:val="00CD36BE"/>
    <w:rsid w:val="00CF1629"/>
    <w:rsid w:val="00D437AA"/>
    <w:rsid w:val="00D55C9C"/>
    <w:rsid w:val="00D66A05"/>
    <w:rsid w:val="00D709E9"/>
    <w:rsid w:val="00D73D90"/>
    <w:rsid w:val="00D855BD"/>
    <w:rsid w:val="00DC0DAA"/>
    <w:rsid w:val="00E25F3E"/>
    <w:rsid w:val="00E31ECB"/>
    <w:rsid w:val="00E320F0"/>
    <w:rsid w:val="00E565AB"/>
    <w:rsid w:val="00E73047"/>
    <w:rsid w:val="00E779D0"/>
    <w:rsid w:val="00E843CE"/>
    <w:rsid w:val="00E86D03"/>
    <w:rsid w:val="00E9507F"/>
    <w:rsid w:val="00E965CC"/>
    <w:rsid w:val="00EA12EF"/>
    <w:rsid w:val="00EF2D59"/>
    <w:rsid w:val="00F03F9B"/>
    <w:rsid w:val="00F419DA"/>
    <w:rsid w:val="00F576E6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453D7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3445</Characters>
  <Application>Microsoft Office Word</Application>
  <DocSecurity>0</DocSecurity>
  <Lines>82</Lines>
  <Paragraphs>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13818-1 10th edition AMD 1 - Improvement for the transport of MPEG-Green</vt:lpstr>
      <vt:lpstr>WD of ISO/IEC 13818-1 10th edition AMD 1 - Improvements for the transport of MPEG-GREEN</vt:lpstr>
      <vt:lpstr/>
    </vt:vector>
  </TitlesOfParts>
  <Manager/>
  <Company/>
  <LinksUpToDate>false</LinksUpToDate>
  <CharactersWithSpaces>3976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13818-1 10th edition AMD 1 - Improvement for the transport of MPEG-Green</dc:title>
  <dc:subject/>
  <dc:creator>K. Grüneberg</dc:creator>
  <cp:keywords/>
  <dc:description/>
  <cp:lastModifiedBy>Grüneberg, Karsten</cp:lastModifiedBy>
  <cp:revision>3</cp:revision>
  <dcterms:created xsi:type="dcterms:W3CDTF">2025-10-11T12:29:00Z</dcterms:created>
  <dcterms:modified xsi:type="dcterms:W3CDTF">2025-10-11T12:30:00Z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1632</vt:lpwstr>
  </property>
  <property fmtid="{D5CDD505-2E9C-101B-9397-08002B2CF9AE}" pid="3" name="MDMSNumber">
    <vt:lpwstr>25606</vt:lpwstr>
  </property>
</Properties>
</file>