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38F18398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236948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6948">
        <w:rPr>
          <w:rFonts w:ascii="Times New Roman" w:hAnsi="Times New Roman" w:cs="Times New Roman"/>
          <w:b w:val="0"/>
          <w:u w:val="thick"/>
        </w:rPr>
        <w:t xml:space="preserve"> </w:t>
      </w:r>
      <w:r w:rsidRPr="00236948">
        <w:rPr>
          <w:rFonts w:ascii="Times New Roman" w:hAnsi="Times New Roman" w:cs="Times New Roman"/>
          <w:b w:val="0"/>
          <w:u w:val="thick"/>
        </w:rPr>
        <w:tab/>
      </w:r>
      <w:r w:rsidRPr="00236948">
        <w:rPr>
          <w:rFonts w:ascii="Times New Roman" w:hAnsi="Times New Roman" w:cs="Times New Roman"/>
          <w:w w:val="115"/>
          <w:u w:val="thick"/>
        </w:rPr>
        <w:t>ISO/IEC JTC 1/SC</w:t>
      </w:r>
      <w:r w:rsidRPr="00236948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236948">
        <w:rPr>
          <w:rFonts w:ascii="Times New Roman" w:hAnsi="Times New Roman" w:cs="Times New Roman"/>
          <w:w w:val="115"/>
          <w:u w:val="thick"/>
        </w:rPr>
        <w:t>29/WG</w:t>
      </w:r>
      <w:r w:rsidR="00A85544" w:rsidRPr="00236948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236948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236948">
        <w:rPr>
          <w:rFonts w:ascii="Times New Roman" w:hAnsi="Times New Roman" w:cs="Times New Roman"/>
          <w:w w:val="115"/>
          <w:u w:val="thick"/>
        </w:rPr>
        <w:tab/>
      </w:r>
      <w:r w:rsidR="0015766B" w:rsidRPr="00236948">
        <w:rPr>
          <w:rFonts w:ascii="Times New Roman" w:hAnsi="Times New Roman" w:cs="Times New Roman"/>
          <w:color w:val="FF0000"/>
          <w:w w:val="115"/>
          <w:sz w:val="44"/>
          <w:u w:val="thick"/>
        </w:rPr>
        <w:t>N0</w:t>
      </w:r>
      <w:r w:rsidR="00236948" w:rsidRPr="00236948">
        <w:rPr>
          <w:rFonts w:ascii="Times New Roman" w:hAnsi="Times New Roman" w:cs="Times New Roman"/>
          <w:color w:val="FF0000"/>
          <w:w w:val="115"/>
          <w:sz w:val="44"/>
          <w:u w:val="thick"/>
        </w:rPr>
        <w:t>294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420B2EB3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71673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420B2EB3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71673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386C58A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 xml:space="preserve">WG 6 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S</w:t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>tandards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, Timeline and Workplan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571673">
        <w:rPr>
          <w:rFonts w:ascii="Times New Roman" w:hAnsi="Times New Roman" w:cs="Times New Roman"/>
          <w:b/>
          <w:w w:val="120"/>
        </w:rPr>
        <w:t>Status:</w:t>
      </w:r>
      <w:r w:rsidRPr="00571673">
        <w:rPr>
          <w:rFonts w:ascii="Times New Roman" w:hAnsi="Times New Roman" w:cs="Times New Roman"/>
          <w:b/>
          <w:w w:val="120"/>
        </w:rPr>
        <w:tab/>
      </w:r>
      <w:r w:rsidR="00B42EB7" w:rsidRPr="00571673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6A397877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15766B">
        <w:rPr>
          <w:rFonts w:ascii="Times New Roman" w:hAnsi="Times New Roman" w:cs="Times New Roman"/>
          <w:w w:val="125"/>
          <w:sz w:val="24"/>
          <w:szCs w:val="24"/>
        </w:rPr>
        <w:t>5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15766B">
        <w:rPr>
          <w:rFonts w:ascii="Times New Roman" w:hAnsi="Times New Roman" w:cs="Times New Roman"/>
          <w:w w:val="125"/>
          <w:sz w:val="24"/>
          <w:szCs w:val="24"/>
        </w:rPr>
        <w:t>01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15766B">
        <w:rPr>
          <w:rFonts w:ascii="Times New Roman" w:hAnsi="Times New Roman" w:cs="Times New Roman"/>
          <w:w w:val="125"/>
          <w:sz w:val="24"/>
          <w:szCs w:val="24"/>
        </w:rPr>
        <w:t>24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3A5D4FD9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571673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571673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67826" w:rsidRPr="005474DA">
        <w:rPr>
          <w:rFonts w:ascii="Times New Roman" w:hAnsi="Times New Roman" w:cs="Times New Roman"/>
          <w:w w:val="125"/>
          <w:sz w:val="24"/>
          <w:szCs w:val="24"/>
        </w:rPr>
        <w:t>3</w:t>
      </w:r>
      <w:r w:rsidR="00BC4A91" w:rsidRPr="005474DA">
        <w:rPr>
          <w:rFonts w:ascii="Times New Roman" w:hAnsi="Times New Roman" w:cs="Times New Roman"/>
          <w:w w:val="125"/>
          <w:sz w:val="24"/>
          <w:szCs w:val="24"/>
        </w:rPr>
        <w:t xml:space="preserve"> (including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44A274E4" w14:textId="77777777" w:rsidR="00F03F9B" w:rsidRPr="00B833CA" w:rsidRDefault="00F03F9B" w:rsidP="005474DA">
      <w:pPr>
        <w:tabs>
          <w:tab w:val="left" w:pos="3099"/>
        </w:tabs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973EC1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B833CA" w:rsidRDefault="00FB55AC" w:rsidP="00FB55AC">
      <w:pPr>
        <w:jc w:val="center"/>
        <w:rPr>
          <w:b/>
          <w:sz w:val="28"/>
          <w:szCs w:val="28"/>
        </w:rPr>
      </w:pPr>
      <w:r w:rsidRPr="00B833CA">
        <w:rPr>
          <w:b/>
          <w:sz w:val="28"/>
          <w:szCs w:val="28"/>
        </w:rPr>
        <w:lastRenderedPageBreak/>
        <w:t>INTERNATIONAL ORGANISATION FOR STANDARDISATION</w:t>
      </w:r>
    </w:p>
    <w:p w14:paraId="53D9073E" w14:textId="77777777" w:rsidR="00FB55AC" w:rsidRPr="00B833CA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ORGANISATION INTERNATIONALE DE NORMALISATION</w:t>
      </w:r>
    </w:p>
    <w:p w14:paraId="2D7EAA58" w14:textId="4F532479" w:rsidR="00A85544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ISO/IEC JTC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1/SC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29/WG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6</w:t>
      </w:r>
    </w:p>
    <w:p w14:paraId="47F7B582" w14:textId="0ED571E2" w:rsidR="00FB55AC" w:rsidRPr="00B833CA" w:rsidRDefault="0040419C" w:rsidP="00FB55AC">
      <w:pPr>
        <w:jc w:val="center"/>
        <w:rPr>
          <w:b/>
        </w:rPr>
      </w:pPr>
      <w:r w:rsidRPr="00B833CA">
        <w:rPr>
          <w:b/>
          <w:sz w:val="28"/>
        </w:rPr>
        <w:t>MPEG AUDIO CODING</w:t>
      </w:r>
    </w:p>
    <w:p w14:paraId="04FB09DB" w14:textId="77777777" w:rsidR="00FB55AC" w:rsidRPr="00B833CA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2DB5D0EE" w14:textId="5BAD7A31" w:rsidR="00FB55AC" w:rsidRPr="008E0422" w:rsidRDefault="00FB55AC" w:rsidP="00FB55AC">
      <w:pPr>
        <w:jc w:val="right"/>
        <w:rPr>
          <w:b/>
        </w:rPr>
      </w:pPr>
      <w:r w:rsidRPr="008E0422">
        <w:rPr>
          <w:b/>
        </w:rPr>
        <w:t xml:space="preserve">ISO/IEC </w:t>
      </w:r>
      <w:r w:rsidRPr="00571673">
        <w:rPr>
          <w:b/>
        </w:rPr>
        <w:t>JTC</w:t>
      </w:r>
      <w:r w:rsidR="00A85544" w:rsidRPr="00571673">
        <w:rPr>
          <w:b/>
        </w:rPr>
        <w:t xml:space="preserve"> </w:t>
      </w:r>
      <w:r w:rsidRPr="00571673">
        <w:rPr>
          <w:b/>
        </w:rPr>
        <w:t>1/SC</w:t>
      </w:r>
      <w:r w:rsidR="00A85544" w:rsidRPr="00571673">
        <w:rPr>
          <w:b/>
        </w:rPr>
        <w:t xml:space="preserve"> </w:t>
      </w:r>
      <w:r w:rsidRPr="00571673">
        <w:rPr>
          <w:b/>
        </w:rPr>
        <w:t>29/WG</w:t>
      </w:r>
      <w:r w:rsidR="00A85544" w:rsidRPr="00571673">
        <w:rPr>
          <w:b/>
        </w:rPr>
        <w:t xml:space="preserve"> </w:t>
      </w:r>
      <w:r w:rsidRPr="00571673">
        <w:rPr>
          <w:b/>
        </w:rPr>
        <w:t xml:space="preserve">6 </w:t>
      </w:r>
      <w:r w:rsidR="00236948" w:rsidRPr="00571673">
        <w:rPr>
          <w:b/>
          <w:color w:val="FF0000"/>
        </w:rPr>
        <w:t>N02</w:t>
      </w:r>
      <w:r w:rsidR="00236948">
        <w:rPr>
          <w:b/>
          <w:color w:val="FF0000"/>
        </w:rPr>
        <w:t>94</w:t>
      </w:r>
    </w:p>
    <w:p w14:paraId="331D010B" w14:textId="6A5A1CD4" w:rsidR="00FB55AC" w:rsidRPr="00B833CA" w:rsidRDefault="00236948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Pr="008E0422">
        <w:rPr>
          <w:b/>
          <w:lang w:eastAsia="ja-JP"/>
        </w:rPr>
        <w:t xml:space="preserve"> </w:t>
      </w:r>
      <w:r w:rsidR="00FB55AC" w:rsidRPr="008E0422">
        <w:rPr>
          <w:b/>
          <w:lang w:eastAsia="ja-JP"/>
        </w:rPr>
        <w:t>202</w:t>
      </w:r>
      <w:r>
        <w:rPr>
          <w:b/>
          <w:lang w:eastAsia="ja-JP"/>
        </w:rPr>
        <w:t>5</w:t>
      </w:r>
      <w:r w:rsidR="00FB55AC" w:rsidRPr="008E0422">
        <w:rPr>
          <w:b/>
          <w:lang w:eastAsia="ja-JP"/>
        </w:rPr>
        <w:t xml:space="preserve">, </w:t>
      </w:r>
      <w:r>
        <w:rPr>
          <w:b/>
          <w:lang w:eastAsia="ja-JP"/>
        </w:rPr>
        <w:t>Geneva</w:t>
      </w:r>
      <w:r w:rsidR="00DF742C" w:rsidRPr="008E0422">
        <w:rPr>
          <w:b/>
          <w:lang w:eastAsia="ja-JP"/>
        </w:rPr>
        <w:t xml:space="preserve">, </w:t>
      </w:r>
      <w:r>
        <w:rPr>
          <w:b/>
          <w:lang w:eastAsia="ja-JP"/>
        </w:rPr>
        <w:t>Switzerland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8B612B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12B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167B83" w:rsidR="00FB55AC" w:rsidRPr="008B612B" w:rsidRDefault="00DF742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12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6 Standards, Timeline and Workplan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571673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73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1E10CF94" w:rsidR="00B833CA" w:rsidRPr="00B833CA" w:rsidRDefault="00236948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948">
              <w:rPr>
                <w:rFonts w:ascii="Times New Roman" w:hAnsi="Times New Roman" w:cs="Times New Roman"/>
                <w:b/>
                <w:sz w:val="24"/>
                <w:szCs w:val="24"/>
              </w:rPr>
              <w:t>24667</w:t>
            </w:r>
          </w:p>
        </w:tc>
      </w:tr>
    </w:tbl>
    <w:p w14:paraId="5E0AE769" w14:textId="77777777" w:rsidR="0040419C" w:rsidRDefault="0040419C" w:rsidP="0040419C"/>
    <w:p w14:paraId="53EF31EF" w14:textId="77777777" w:rsidR="00724609" w:rsidRDefault="00724609" w:rsidP="0040419C"/>
    <w:p w14:paraId="0EAFF8A5" w14:textId="514506A7" w:rsidR="00D37170" w:rsidRPr="005474DA" w:rsidRDefault="00D37170" w:rsidP="005474DA">
      <w:pPr>
        <w:pStyle w:val="Heading1"/>
        <w:rPr>
          <w:rFonts w:ascii="Times New Roman" w:hAnsi="Times New Roman" w:cs="Times New Roman"/>
        </w:rPr>
      </w:pPr>
      <w:r w:rsidRPr="005474DA">
        <w:rPr>
          <w:rFonts w:ascii="Times New Roman" w:hAnsi="Times New Roman" w:cs="Times New Roman"/>
          <w:b w:val="0"/>
        </w:rPr>
        <w:t>WG 6 standards under development</w:t>
      </w:r>
    </w:p>
    <w:p w14:paraId="39F55D94" w14:textId="77777777" w:rsidR="00574517" w:rsidRPr="005474DA" w:rsidRDefault="00574517" w:rsidP="0057451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474D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ISO/IEC 14496, MPEG-4, Coding of audio-visual objects</w:t>
      </w:r>
    </w:p>
    <w:p w14:paraId="1513C9B7" w14:textId="4D866DBD" w:rsidR="00574517" w:rsidRPr="00D37170" w:rsidRDefault="00574517" w:rsidP="00574517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2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4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 xml:space="preserve">Audio </w:t>
      </w:r>
      <w:r>
        <w:rPr>
          <w:rFonts w:ascii="Times" w:eastAsia="SimSun" w:hAnsi="Times" w:cs="Times New Roman"/>
          <w:bCs/>
          <w:sz w:val="24"/>
          <w:szCs w:val="24"/>
          <w:lang w:val="en-GB" w:eastAsia="zh-CN"/>
        </w:rPr>
        <w:t>and systems interaction, Second Edition</w:t>
      </w:r>
    </w:p>
    <w:p w14:paraId="7E3F6165" w14:textId="237F6CF6" w:rsidR="00D37170" w:rsidRDefault="00D37170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26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>Audio conformance</w:t>
      </w:r>
      <w:r w:rsidR="00874206">
        <w:rPr>
          <w:rFonts w:ascii="Times" w:eastAsia="SimSun" w:hAnsi="Times" w:cs="Times New Roman"/>
          <w:bCs/>
          <w:sz w:val="24"/>
          <w:szCs w:val="24"/>
          <w:lang w:val="en-GB" w:eastAsia="zh-CN"/>
        </w:rPr>
        <w:t>, Second Edition</w:t>
      </w:r>
    </w:p>
    <w:p w14:paraId="0D32E80E" w14:textId="77777777" w:rsidR="00574517" w:rsidRDefault="0057451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</w:p>
    <w:p w14:paraId="7766E189" w14:textId="77777777" w:rsidR="002C0957" w:rsidRPr="00D37170" w:rsidRDefault="002C0957" w:rsidP="002C095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 xml:space="preserve">ISO/IEC 23003, MPEG-D, 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MPEG Audio Technologies</w:t>
      </w:r>
    </w:p>
    <w:p w14:paraId="40E74EA3" w14:textId="77777777" w:rsidR="002C0957" w:rsidRPr="00D37170" w:rsidRDefault="002C0957" w:rsidP="002C095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Part 4 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– </w:t>
      </w:r>
      <w:r w:rsidRPr="00D37170">
        <w:rPr>
          <w:rFonts w:ascii="Times New Roman" w:eastAsia="SimSun" w:hAnsi="Times New Roman" w:cs="Times New Roman"/>
          <w:sz w:val="24"/>
          <w:szCs w:val="24"/>
          <w:lang w:eastAsia="zh-CN"/>
        </w:rPr>
        <w:t>Dynamic range control, Third Edition</w:t>
      </w:r>
    </w:p>
    <w:p w14:paraId="191FE37D" w14:textId="77777777" w:rsidR="002C0957" w:rsidRPr="002C0957" w:rsidRDefault="002C095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eastAsia="zh-CN"/>
        </w:rPr>
      </w:pPr>
    </w:p>
    <w:p w14:paraId="462BD4AD" w14:textId="396849AB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23008, MPEG-</w:t>
      </w:r>
      <w:r w:rsidR="007E1774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H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="00D67826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High efficiency coding and media delivery in heterogeneous environments</w:t>
      </w:r>
    </w:p>
    <w:p w14:paraId="1A8ACBF7" w14:textId="36D87BAF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29EB626E" w14:textId="6D7DA774" w:rsidR="00574517" w:rsidRPr="00574517" w:rsidRDefault="00574517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6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 reference software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6088655D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BA57C6C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23090, MPEG-I, Coded Representation of Immersive Media</w:t>
      </w:r>
    </w:p>
    <w:p w14:paraId="46A31AB1" w14:textId="18A075F6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4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MPEG-I i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mmersive audio</w:t>
      </w:r>
    </w:p>
    <w:p w14:paraId="4B7E8819" w14:textId="722B115C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34 – Immersive audio reference software</w:t>
      </w:r>
    </w:p>
    <w:p w14:paraId="5037F8E7" w14:textId="77777777" w:rsidR="00D37170" w:rsidRPr="005474DA" w:rsidRDefault="00D37170" w:rsidP="005474DA">
      <w:pPr>
        <w:pStyle w:val="Heading1"/>
        <w:rPr>
          <w:rFonts w:ascii="Times New Roman" w:hAnsi="Times New Roman" w:cs="Times New Roman"/>
          <w:b w:val="0"/>
        </w:rPr>
      </w:pPr>
      <w:r w:rsidRPr="005474DA">
        <w:rPr>
          <w:rFonts w:ascii="Times New Roman" w:hAnsi="Times New Roman" w:cs="Times New Roman"/>
        </w:rPr>
        <w:t>WG 6 timeline</w:t>
      </w:r>
    </w:p>
    <w:tbl>
      <w:tblPr>
        <w:tblStyle w:val="TableGrid"/>
        <w:tblW w:w="4866" w:type="pct"/>
        <w:tblLayout w:type="fixed"/>
        <w:tblLook w:val="04A0" w:firstRow="1" w:lastRow="0" w:firstColumn="1" w:lastColumn="0" w:noHBand="0" w:noVBand="1"/>
      </w:tblPr>
      <w:tblGrid>
        <w:gridCol w:w="1271"/>
        <w:gridCol w:w="444"/>
        <w:gridCol w:w="2291"/>
        <w:gridCol w:w="467"/>
        <w:gridCol w:w="640"/>
        <w:gridCol w:w="816"/>
        <w:gridCol w:w="895"/>
        <w:gridCol w:w="862"/>
        <w:gridCol w:w="980"/>
        <w:gridCol w:w="978"/>
      </w:tblGrid>
      <w:tr w:rsidR="003E7094" w:rsidRPr="00D37170" w14:paraId="0558DBA0" w14:textId="77777777" w:rsidTr="005474DA">
        <w:tc>
          <w:tcPr>
            <w:tcW w:w="659" w:type="pct"/>
          </w:tcPr>
          <w:p w14:paraId="6EF5CB88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230" w:type="pct"/>
          </w:tcPr>
          <w:p w14:paraId="668E040F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188" w:type="pct"/>
          </w:tcPr>
          <w:p w14:paraId="713EA3C4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242" w:type="pct"/>
          </w:tcPr>
          <w:p w14:paraId="0B1D7AC3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332" w:type="pct"/>
          </w:tcPr>
          <w:p w14:paraId="04FB3554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proofErr w:type="spellStart"/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  <w:proofErr w:type="spellEnd"/>
          </w:p>
        </w:tc>
        <w:tc>
          <w:tcPr>
            <w:tcW w:w="423" w:type="pct"/>
          </w:tcPr>
          <w:p w14:paraId="1E87A498" w14:textId="77777777" w:rsidR="003E7094" w:rsidRPr="00574517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148_17</w:t>
            </w:r>
          </w:p>
        </w:tc>
        <w:tc>
          <w:tcPr>
            <w:tcW w:w="464" w:type="pct"/>
            <w:shd w:val="clear" w:color="auto" w:fill="auto"/>
          </w:tcPr>
          <w:p w14:paraId="54C222D9" w14:textId="77777777" w:rsidR="003E7094" w:rsidRPr="00571673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149_18</w:t>
            </w:r>
          </w:p>
        </w:tc>
        <w:tc>
          <w:tcPr>
            <w:tcW w:w="447" w:type="pct"/>
          </w:tcPr>
          <w:p w14:paraId="36BFD18C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  <w:tc>
          <w:tcPr>
            <w:tcW w:w="508" w:type="pct"/>
          </w:tcPr>
          <w:p w14:paraId="625FEE46" w14:textId="58E9E3CA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  <w:tc>
          <w:tcPr>
            <w:tcW w:w="507" w:type="pct"/>
          </w:tcPr>
          <w:p w14:paraId="77D6C538" w14:textId="0F37BBEB" w:rsidR="003E7094" w:rsidRPr="00D37170" w:rsidRDefault="003E7094" w:rsidP="003E7094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51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20</w:t>
            </w:r>
          </w:p>
        </w:tc>
      </w:tr>
      <w:tr w:rsidR="003E7094" w:rsidRPr="00D37170" w14:paraId="18842DDA" w14:textId="77777777" w:rsidTr="005474DA">
        <w:trPr>
          <w:trHeight w:val="89"/>
        </w:trPr>
        <w:tc>
          <w:tcPr>
            <w:tcW w:w="659" w:type="pct"/>
          </w:tcPr>
          <w:p w14:paraId="178040BC" w14:textId="3EF7378F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30" w:type="pct"/>
          </w:tcPr>
          <w:p w14:paraId="2E4031AF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88" w:type="pct"/>
          </w:tcPr>
          <w:p w14:paraId="6FBEC1B1" w14:textId="77777777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42" w:type="pct"/>
          </w:tcPr>
          <w:p w14:paraId="04198935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32" w:type="pct"/>
          </w:tcPr>
          <w:p w14:paraId="62B16AED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3C1B3DF3" w14:textId="77777777" w:rsidR="003E7094" w:rsidRPr="00574517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7C24677E" w14:textId="6EDC4845" w:rsidR="003E7094" w:rsidRPr="00571673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1BA35346" w14:textId="20CA4AD8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</w:tcPr>
          <w:p w14:paraId="1F5B5FA0" w14:textId="7442BAC8" w:rsidR="003E7094" w:rsidRDefault="00236948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IS</w:t>
            </w:r>
          </w:p>
        </w:tc>
        <w:tc>
          <w:tcPr>
            <w:tcW w:w="507" w:type="pct"/>
          </w:tcPr>
          <w:p w14:paraId="63BE59B4" w14:textId="5AC053CA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0C254B4C" w14:textId="77777777" w:rsidTr="005474DA">
        <w:trPr>
          <w:trHeight w:val="89"/>
        </w:trPr>
        <w:tc>
          <w:tcPr>
            <w:tcW w:w="659" w:type="pct"/>
          </w:tcPr>
          <w:p w14:paraId="21DFC768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30" w:type="pct"/>
          </w:tcPr>
          <w:p w14:paraId="20F1B800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188" w:type="pct"/>
          </w:tcPr>
          <w:p w14:paraId="742C9BF5" w14:textId="77777777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 reference software</w:t>
            </w:r>
          </w:p>
        </w:tc>
        <w:tc>
          <w:tcPr>
            <w:tcW w:w="242" w:type="pct"/>
          </w:tcPr>
          <w:p w14:paraId="6E67FC8A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32" w:type="pct"/>
          </w:tcPr>
          <w:p w14:paraId="265021C3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0FD90C22" w14:textId="77777777" w:rsidR="003E7094" w:rsidRPr="00574517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14B336D1" w14:textId="19EDE181" w:rsidR="003E7094" w:rsidRPr="00571673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3A4AA7D3" w14:textId="4EF7FB97" w:rsidR="003E7094" w:rsidRDefault="00236948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</w:tcPr>
          <w:p w14:paraId="75B6C452" w14:textId="33DCDC1E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IS</w:t>
            </w:r>
          </w:p>
        </w:tc>
        <w:tc>
          <w:tcPr>
            <w:tcW w:w="507" w:type="pct"/>
          </w:tcPr>
          <w:p w14:paraId="5D151075" w14:textId="2CDB5774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112478ED" w14:textId="77777777" w:rsidTr="005474DA">
        <w:trPr>
          <w:trHeight w:val="89"/>
        </w:trPr>
        <w:tc>
          <w:tcPr>
            <w:tcW w:w="659" w:type="pct"/>
          </w:tcPr>
          <w:p w14:paraId="0DC66094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30" w:type="pct"/>
          </w:tcPr>
          <w:p w14:paraId="0E73C990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188" w:type="pct"/>
          </w:tcPr>
          <w:p w14:paraId="0B084AD8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242" w:type="pct"/>
          </w:tcPr>
          <w:p w14:paraId="582BF66A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32" w:type="pct"/>
          </w:tcPr>
          <w:p w14:paraId="29993852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3AEA6605" w14:textId="77777777" w:rsidR="003E7094" w:rsidRPr="00574517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4D589885" w14:textId="77777777" w:rsidR="003E7094" w:rsidRPr="00571673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447" w:type="pct"/>
          </w:tcPr>
          <w:p w14:paraId="5AE003D3" w14:textId="77777777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8" w:type="pct"/>
          </w:tcPr>
          <w:p w14:paraId="2BD09D80" w14:textId="33050D9C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IS</w:t>
            </w:r>
          </w:p>
        </w:tc>
        <w:tc>
          <w:tcPr>
            <w:tcW w:w="507" w:type="pct"/>
          </w:tcPr>
          <w:p w14:paraId="5EFFA9DD" w14:textId="3A5D63F6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58BCF555" w14:textId="77777777" w:rsidTr="005474DA">
        <w:trPr>
          <w:trHeight w:val="89"/>
        </w:trPr>
        <w:tc>
          <w:tcPr>
            <w:tcW w:w="659" w:type="pct"/>
          </w:tcPr>
          <w:p w14:paraId="3F3FD651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30" w:type="pct"/>
          </w:tcPr>
          <w:p w14:paraId="0F0DC070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188" w:type="pct"/>
          </w:tcPr>
          <w:p w14:paraId="1D9C4874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Immersive audio reference software </w:t>
            </w:r>
          </w:p>
        </w:tc>
        <w:tc>
          <w:tcPr>
            <w:tcW w:w="242" w:type="pct"/>
          </w:tcPr>
          <w:p w14:paraId="0F9453B9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32" w:type="pct"/>
          </w:tcPr>
          <w:p w14:paraId="485CA1EB" w14:textId="77777777" w:rsidR="003E7094" w:rsidRPr="00D37170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72604B80" w14:textId="77777777" w:rsidR="003E7094" w:rsidRPr="00574517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733D5C8A" w14:textId="77777777" w:rsidR="003E7094" w:rsidRPr="00571673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141421D5" w14:textId="77777777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</w:tcPr>
          <w:p w14:paraId="6ED3FF6C" w14:textId="2D1B4124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7" w:type="pct"/>
          </w:tcPr>
          <w:p w14:paraId="63629A0E" w14:textId="1508FDC6" w:rsidR="003E7094" w:rsidRDefault="003E7094" w:rsidP="003E709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IS</w:t>
            </w:r>
          </w:p>
        </w:tc>
      </w:tr>
    </w:tbl>
    <w:p w14:paraId="7484D6E1" w14:textId="77777777" w:rsidR="00D37170" w:rsidRPr="005474DA" w:rsidRDefault="00D37170" w:rsidP="005474DA">
      <w:pPr>
        <w:pStyle w:val="Heading1"/>
        <w:rPr>
          <w:rFonts w:ascii="Times New Roman" w:hAnsi="Times New Roman" w:cs="Times New Roman"/>
          <w:b w:val="0"/>
        </w:rPr>
      </w:pPr>
      <w:r w:rsidRPr="005474DA">
        <w:rPr>
          <w:rFonts w:ascii="Times New Roman" w:hAnsi="Times New Roman" w:cs="Times New Roman"/>
        </w:rPr>
        <w:t>WG 6 work plan</w:t>
      </w:r>
    </w:p>
    <w:tbl>
      <w:tblPr>
        <w:tblStyle w:val="TableGrid"/>
        <w:tblW w:w="9542" w:type="dxa"/>
        <w:tblLayout w:type="fixed"/>
        <w:tblLook w:val="04A0" w:firstRow="1" w:lastRow="0" w:firstColumn="1" w:lastColumn="0" w:noHBand="0" w:noVBand="1"/>
      </w:tblPr>
      <w:tblGrid>
        <w:gridCol w:w="1083"/>
        <w:gridCol w:w="416"/>
        <w:gridCol w:w="1733"/>
        <w:gridCol w:w="4527"/>
        <w:gridCol w:w="683"/>
        <w:gridCol w:w="461"/>
        <w:gridCol w:w="639"/>
      </w:tblGrid>
      <w:tr w:rsidR="003E7094" w:rsidRPr="00D37170" w14:paraId="7F30C3C1" w14:textId="77777777" w:rsidTr="001668DE">
        <w:tc>
          <w:tcPr>
            <w:tcW w:w="1083" w:type="dxa"/>
          </w:tcPr>
          <w:p w14:paraId="06D85A5D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416" w:type="dxa"/>
          </w:tcPr>
          <w:p w14:paraId="350F515E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733" w:type="dxa"/>
          </w:tcPr>
          <w:p w14:paraId="27B143BD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4527" w:type="dxa"/>
          </w:tcPr>
          <w:p w14:paraId="5680732A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Deliverable</w:t>
            </w:r>
          </w:p>
        </w:tc>
        <w:tc>
          <w:tcPr>
            <w:tcW w:w="683" w:type="dxa"/>
          </w:tcPr>
          <w:p w14:paraId="18CEF35E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Type</w:t>
            </w:r>
          </w:p>
        </w:tc>
        <w:tc>
          <w:tcPr>
            <w:tcW w:w="461" w:type="dxa"/>
          </w:tcPr>
          <w:p w14:paraId="565B2035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639" w:type="dxa"/>
          </w:tcPr>
          <w:p w14:paraId="00EF80E7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proofErr w:type="spellStart"/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  <w:proofErr w:type="spellEnd"/>
          </w:p>
        </w:tc>
      </w:tr>
      <w:tr w:rsidR="003E7094" w:rsidRPr="00D37170" w14:paraId="5F4AF578" w14:textId="77777777" w:rsidTr="001668DE">
        <w:tc>
          <w:tcPr>
            <w:tcW w:w="1083" w:type="dxa"/>
          </w:tcPr>
          <w:p w14:paraId="0CD2B8E8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</w:tcPr>
          <w:p w14:paraId="0B0C499E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733" w:type="dxa"/>
          </w:tcPr>
          <w:p w14:paraId="7170E1C0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4527" w:type="dxa"/>
          </w:tcPr>
          <w:p w14:paraId="12917B2A" w14:textId="77777777" w:rsidR="003E7094" w:rsidRPr="00D37170" w:rsidRDefault="003E7094" w:rsidP="001668DE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23090-4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MPEG-I immersive 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</w:p>
        </w:tc>
        <w:tc>
          <w:tcPr>
            <w:tcW w:w="683" w:type="dxa"/>
          </w:tcPr>
          <w:p w14:paraId="722EA9D6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</w:tcPr>
          <w:p w14:paraId="03365DB3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639" w:type="dxa"/>
          </w:tcPr>
          <w:p w14:paraId="57B53F51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329C798C" w14:textId="77777777" w:rsidTr="001668DE">
        <w:tc>
          <w:tcPr>
            <w:tcW w:w="1083" w:type="dxa"/>
          </w:tcPr>
          <w:p w14:paraId="59B7F4C7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</w:tcPr>
          <w:p w14:paraId="01365DA0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733" w:type="dxa"/>
          </w:tcPr>
          <w:p w14:paraId="1DB262BF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Immersive audio reference software</w:t>
            </w:r>
          </w:p>
        </w:tc>
        <w:tc>
          <w:tcPr>
            <w:tcW w:w="4527" w:type="dxa"/>
          </w:tcPr>
          <w:p w14:paraId="5F8305E3" w14:textId="77777777" w:rsidR="003E7094" w:rsidRPr="00D37170" w:rsidRDefault="003E7094" w:rsidP="001668DE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4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I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mmersive 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 reference software</w:t>
            </w:r>
          </w:p>
        </w:tc>
        <w:tc>
          <w:tcPr>
            <w:tcW w:w="683" w:type="dxa"/>
          </w:tcPr>
          <w:p w14:paraId="4085CC44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</w:tcPr>
          <w:p w14:paraId="67FA12FC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639" w:type="dxa"/>
          </w:tcPr>
          <w:p w14:paraId="7FB735EB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333487A9" w14:textId="77777777" w:rsidTr="001668DE">
        <w:tc>
          <w:tcPr>
            <w:tcW w:w="1083" w:type="dxa"/>
          </w:tcPr>
          <w:p w14:paraId="78624B4F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</w:tcPr>
          <w:p w14:paraId="6DF01D04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</w:tcPr>
          <w:p w14:paraId="2F962474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27" w:type="dxa"/>
          </w:tcPr>
          <w:p w14:paraId="2E0155AD" w14:textId="77777777" w:rsidR="003E7094" w:rsidRPr="00D37170" w:rsidRDefault="003E7094" w:rsidP="001668DE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683" w:type="dxa"/>
          </w:tcPr>
          <w:p w14:paraId="04409808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</w:tcPr>
          <w:p w14:paraId="3D1517A4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639" w:type="dxa"/>
          </w:tcPr>
          <w:p w14:paraId="6D38B2E9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3E7094" w:rsidRPr="00D37170" w14:paraId="0AC33111" w14:textId="77777777" w:rsidTr="001668DE">
        <w:tc>
          <w:tcPr>
            <w:tcW w:w="1083" w:type="dxa"/>
          </w:tcPr>
          <w:p w14:paraId="01453158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</w:tcPr>
          <w:p w14:paraId="5682B35E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733" w:type="dxa"/>
          </w:tcPr>
          <w:p w14:paraId="6F27F20A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 audio reference software</w:t>
            </w:r>
          </w:p>
        </w:tc>
        <w:tc>
          <w:tcPr>
            <w:tcW w:w="4527" w:type="dxa"/>
          </w:tcPr>
          <w:p w14:paraId="6A7D6D94" w14:textId="77777777" w:rsidR="003E7094" w:rsidRPr="00D37170" w:rsidRDefault="003E7094" w:rsidP="001668DE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6,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 audio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 xml:space="preserve"> reference software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683" w:type="dxa"/>
          </w:tcPr>
          <w:p w14:paraId="68E1C205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</w:tcPr>
          <w:p w14:paraId="37DD324D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639" w:type="dxa"/>
          </w:tcPr>
          <w:p w14:paraId="3BDF90CF" w14:textId="77777777" w:rsidR="003E7094" w:rsidRPr="00D37170" w:rsidRDefault="003E7094" w:rsidP="001668DE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7C5ECB97" w14:textId="5025F046" w:rsidR="002C2F55" w:rsidRPr="00B833CA" w:rsidRDefault="002C2F55" w:rsidP="00236948">
      <w:pPr>
        <w:tabs>
          <w:tab w:val="left" w:pos="4209"/>
        </w:tabs>
      </w:pPr>
    </w:p>
    <w:sectPr w:rsidR="002C2F55" w:rsidRPr="00B833CA" w:rsidSect="00973EC1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6674"/>
    <w:multiLevelType w:val="hybridMultilevel"/>
    <w:tmpl w:val="D070D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2"/>
  </w:num>
  <w:num w:numId="2" w16cid:durableId="1119640312">
    <w:abstractNumId w:val="3"/>
  </w:num>
  <w:num w:numId="3" w16cid:durableId="1420446837">
    <w:abstractNumId w:val="1"/>
  </w:num>
  <w:num w:numId="4" w16cid:durableId="1835875252">
    <w:abstractNumId w:val="0"/>
  </w:num>
  <w:num w:numId="5" w16cid:durableId="2132286784">
    <w:abstractNumId w:val="1"/>
  </w:num>
  <w:num w:numId="6" w16cid:durableId="522092343">
    <w:abstractNumId w:val="1"/>
  </w:num>
  <w:num w:numId="7" w16cid:durableId="1955096485">
    <w:abstractNumId w:val="1"/>
  </w:num>
  <w:num w:numId="8" w16cid:durableId="739911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4AB8"/>
    <w:rsid w:val="00030667"/>
    <w:rsid w:val="00056CA8"/>
    <w:rsid w:val="000968DA"/>
    <w:rsid w:val="000B1490"/>
    <w:rsid w:val="000D4FBA"/>
    <w:rsid w:val="000F7DFF"/>
    <w:rsid w:val="0010406A"/>
    <w:rsid w:val="00122929"/>
    <w:rsid w:val="00126E7B"/>
    <w:rsid w:val="00142EC1"/>
    <w:rsid w:val="00147500"/>
    <w:rsid w:val="0015766B"/>
    <w:rsid w:val="0016661D"/>
    <w:rsid w:val="0018563E"/>
    <w:rsid w:val="001C0C1F"/>
    <w:rsid w:val="001C2C18"/>
    <w:rsid w:val="001C5F17"/>
    <w:rsid w:val="001D30E1"/>
    <w:rsid w:val="001F6AB0"/>
    <w:rsid w:val="001F73CE"/>
    <w:rsid w:val="002038A9"/>
    <w:rsid w:val="00222E9E"/>
    <w:rsid w:val="00226047"/>
    <w:rsid w:val="00236948"/>
    <w:rsid w:val="00255848"/>
    <w:rsid w:val="00292DDE"/>
    <w:rsid w:val="002C0957"/>
    <w:rsid w:val="002C2F55"/>
    <w:rsid w:val="00336BB0"/>
    <w:rsid w:val="00380562"/>
    <w:rsid w:val="00381D17"/>
    <w:rsid w:val="003904A3"/>
    <w:rsid w:val="003B0FC6"/>
    <w:rsid w:val="003E7094"/>
    <w:rsid w:val="003F2E48"/>
    <w:rsid w:val="0040419C"/>
    <w:rsid w:val="0040558C"/>
    <w:rsid w:val="00427E3E"/>
    <w:rsid w:val="004B4E0A"/>
    <w:rsid w:val="004C7FD2"/>
    <w:rsid w:val="004E45B6"/>
    <w:rsid w:val="00514883"/>
    <w:rsid w:val="00537F5F"/>
    <w:rsid w:val="005474DA"/>
    <w:rsid w:val="00571673"/>
    <w:rsid w:val="00572C73"/>
    <w:rsid w:val="00574517"/>
    <w:rsid w:val="005C00C8"/>
    <w:rsid w:val="005E539C"/>
    <w:rsid w:val="00612619"/>
    <w:rsid w:val="00622ACF"/>
    <w:rsid w:val="00665288"/>
    <w:rsid w:val="0068260F"/>
    <w:rsid w:val="006E51C9"/>
    <w:rsid w:val="006E7F21"/>
    <w:rsid w:val="00712467"/>
    <w:rsid w:val="00724609"/>
    <w:rsid w:val="007862B1"/>
    <w:rsid w:val="00796D24"/>
    <w:rsid w:val="007B5E2C"/>
    <w:rsid w:val="007D484C"/>
    <w:rsid w:val="007E1774"/>
    <w:rsid w:val="007E5089"/>
    <w:rsid w:val="00802840"/>
    <w:rsid w:val="00836074"/>
    <w:rsid w:val="00874206"/>
    <w:rsid w:val="008B3398"/>
    <w:rsid w:val="008B612B"/>
    <w:rsid w:val="008D0B27"/>
    <w:rsid w:val="008E0422"/>
    <w:rsid w:val="009636E0"/>
    <w:rsid w:val="00973EC1"/>
    <w:rsid w:val="00975EF7"/>
    <w:rsid w:val="009C5AAC"/>
    <w:rsid w:val="009C683B"/>
    <w:rsid w:val="009C7A73"/>
    <w:rsid w:val="00A64BD5"/>
    <w:rsid w:val="00A85544"/>
    <w:rsid w:val="00A92D6C"/>
    <w:rsid w:val="00AB5B00"/>
    <w:rsid w:val="00AC276D"/>
    <w:rsid w:val="00AC5404"/>
    <w:rsid w:val="00AF3B4A"/>
    <w:rsid w:val="00B22322"/>
    <w:rsid w:val="00B42EB7"/>
    <w:rsid w:val="00B779B1"/>
    <w:rsid w:val="00B833CA"/>
    <w:rsid w:val="00BC4A91"/>
    <w:rsid w:val="00C26DE1"/>
    <w:rsid w:val="00CB25EE"/>
    <w:rsid w:val="00CB559C"/>
    <w:rsid w:val="00CB57E4"/>
    <w:rsid w:val="00CB798F"/>
    <w:rsid w:val="00CC6DD6"/>
    <w:rsid w:val="00D265D5"/>
    <w:rsid w:val="00D37170"/>
    <w:rsid w:val="00D45F40"/>
    <w:rsid w:val="00D67826"/>
    <w:rsid w:val="00D80B3C"/>
    <w:rsid w:val="00DB5F3C"/>
    <w:rsid w:val="00DF742C"/>
    <w:rsid w:val="00E1087D"/>
    <w:rsid w:val="00F03F9B"/>
    <w:rsid w:val="00F45149"/>
    <w:rsid w:val="00F73309"/>
    <w:rsid w:val="00F73BB2"/>
    <w:rsid w:val="00F80235"/>
    <w:rsid w:val="00F91F91"/>
    <w:rsid w:val="00FA21FC"/>
    <w:rsid w:val="00FB55AC"/>
    <w:rsid w:val="00FD43E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236948"/>
    <w:pPr>
      <w:numPr>
        <w:numId w:val="3"/>
      </w:numPr>
      <w:spacing w:before="240" w:after="120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rsid w:val="009C7A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7A73"/>
    <w:rPr>
      <w:sz w:val="16"/>
      <w:szCs w:val="16"/>
    </w:rPr>
  </w:style>
  <w:style w:type="paragraph" w:styleId="Revision">
    <w:name w:val="Revision"/>
    <w:hidden/>
    <w:uiPriority w:val="99"/>
    <w:semiHidden/>
    <w:rsid w:val="002C2F55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Fersch, Christof</cp:lastModifiedBy>
  <cp:revision>22</cp:revision>
  <dcterms:created xsi:type="dcterms:W3CDTF">2024-09-24T13:01:00Z</dcterms:created>
  <dcterms:modified xsi:type="dcterms:W3CDTF">2025-01-24T10:36:00Z</dcterms:modified>
</cp:coreProperties>
</file>