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8EA00" w14:textId="3152E401"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C40E21">
        <w:rPr>
          <w:rFonts w:ascii="Times New Roman" w:eastAsiaTheme="minorEastAsia" w:hAnsi="Times New Roman"/>
          <w:b/>
          <w:noProof w:val="0"/>
          <w:spacing w:val="-10"/>
          <w:w w:val="115"/>
          <w:kern w:val="28"/>
          <w:sz w:val="48"/>
          <w:szCs w:val="48"/>
          <w:u w:val="thick"/>
          <w:lang w:val="en-GB" w:eastAsia="zh-CN"/>
        </w:rPr>
        <w:t>1</w:t>
      </w:r>
      <w:r w:rsidR="00A34B44">
        <w:rPr>
          <w:rFonts w:ascii="Times New Roman" w:eastAsiaTheme="minorEastAsia" w:hAnsi="Times New Roman"/>
          <w:b/>
          <w:noProof w:val="0"/>
          <w:spacing w:val="-10"/>
          <w:w w:val="115"/>
          <w:kern w:val="28"/>
          <w:sz w:val="48"/>
          <w:szCs w:val="48"/>
          <w:u w:val="thick"/>
          <w:lang w:val="en-GB" w:eastAsia="zh-CN"/>
        </w:rPr>
        <w:t>306</w:t>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153B5DCC"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A34B44">
        <w:rPr>
          <w:rFonts w:ascii="Times New Roman" w:hAnsi="Times New Roman"/>
          <w:noProof/>
          <w:snapToGrid w:val="0"/>
          <w:sz w:val="24"/>
          <w:szCs w:val="24"/>
          <w:lang w:val="en-GB"/>
        </w:rPr>
        <w:t>2024-0</w:t>
      </w:r>
      <w:r w:rsidR="00A34B44">
        <w:rPr>
          <w:rFonts w:ascii="Times New Roman" w:hAnsi="Times New Roman"/>
          <w:noProof/>
          <w:snapToGrid w:val="0"/>
          <w:sz w:val="24"/>
          <w:szCs w:val="24"/>
          <w:lang w:val="en-GB"/>
        </w:rPr>
        <w:t>7</w:t>
      </w:r>
      <w:r w:rsidR="00A34B44">
        <w:rPr>
          <w:rFonts w:ascii="Times New Roman" w:hAnsi="Times New Roman"/>
          <w:noProof/>
          <w:snapToGrid w:val="0"/>
          <w:sz w:val="24"/>
          <w:szCs w:val="24"/>
          <w:lang w:val="en-GB"/>
        </w:rPr>
        <w:t>-2</w:t>
      </w:r>
      <w:r w:rsidRPr="006B1788">
        <w:rPr>
          <w:rFonts w:ascii="Times New Roman" w:hAnsi="Times New Roman"/>
          <w:snapToGrid w:val="0"/>
          <w:sz w:val="24"/>
          <w:szCs w:val="24"/>
          <w:lang w:val="en-GB"/>
        </w:rPr>
        <w:fldChar w:fldCharType="end"/>
      </w:r>
      <w:r w:rsidR="00A34B44">
        <w:rPr>
          <w:rFonts w:ascii="Times New Roman" w:hAnsi="Times New Roman"/>
          <w:snapToGrid w:val="0"/>
          <w:sz w:val="24"/>
          <w:szCs w:val="24"/>
          <w:lang w:val="en-GB"/>
        </w:rPr>
        <w:t>6</w:t>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7899B78C"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E12ED2">
        <w:rPr>
          <w:rFonts w:ascii="Times New Roman" w:hAnsi="Times New Roman"/>
          <w:snapToGrid w:val="0"/>
          <w:sz w:val="24"/>
          <w:szCs w:val="24"/>
          <w:lang w:val="en-GB"/>
        </w:rPr>
        <w:t>5</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0572FFE1"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C40E21">
        <w:rPr>
          <w:rFonts w:ascii="Times New Roman" w:eastAsia="SimSun" w:hAnsi="Times New Roman"/>
          <w:b/>
          <w:sz w:val="48"/>
          <w:szCs w:val="24"/>
          <w:lang w:val="en-GB" w:eastAsia="zh-CN"/>
        </w:rPr>
        <w:t>1</w:t>
      </w:r>
      <w:r w:rsidR="00A34B44">
        <w:rPr>
          <w:rFonts w:ascii="Times New Roman" w:eastAsia="SimSun" w:hAnsi="Times New Roman"/>
          <w:b/>
          <w:sz w:val="48"/>
          <w:szCs w:val="24"/>
          <w:lang w:val="en-GB" w:eastAsia="zh-CN"/>
        </w:rPr>
        <w:t>306</w:t>
      </w:r>
    </w:p>
    <w:p w14:paraId="7FBA74C5" w14:textId="0F03E474"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A34B44">
        <w:rPr>
          <w:rFonts w:ascii="Times New Roman" w:eastAsia="SimSun" w:hAnsi="Times New Roman"/>
          <w:b/>
          <w:noProof/>
          <w:sz w:val="28"/>
          <w:szCs w:val="24"/>
          <w:lang w:val="en-GB" w:eastAsia="zh-CN"/>
        </w:rPr>
        <w:t>July</w:t>
      </w:r>
      <w:r w:rsidR="00A34B44">
        <w:rPr>
          <w:rFonts w:ascii="Times New Roman" w:eastAsia="SimSun" w:hAnsi="Times New Roman"/>
          <w:b/>
          <w:noProof/>
          <w:sz w:val="28"/>
          <w:szCs w:val="24"/>
          <w:lang w:val="en-GB" w:eastAsia="zh-CN"/>
        </w:rPr>
        <w:t xml:space="preserve"> 2024</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A34B44">
        <w:rPr>
          <w:rFonts w:ascii="Times New Roman" w:eastAsia="SimSun" w:hAnsi="Times New Roman"/>
          <w:b/>
          <w:sz w:val="28"/>
          <w:szCs w:val="24"/>
          <w:lang w:val="en-GB" w:eastAsia="zh-CN"/>
        </w:rPr>
        <w:t>Sapporo</w:t>
      </w:r>
      <w:r w:rsidR="00294BE5">
        <w:rPr>
          <w:rFonts w:ascii="Times New Roman" w:eastAsia="SimSun" w:hAnsi="Times New Roman"/>
          <w:b/>
          <w:sz w:val="28"/>
          <w:szCs w:val="24"/>
          <w:lang w:val="en-GB" w:eastAsia="zh-CN"/>
        </w:rPr>
        <w:t xml:space="preserve">, </w:t>
      </w:r>
      <w:r w:rsidR="00A34B44">
        <w:rPr>
          <w:rFonts w:ascii="Times New Roman" w:eastAsia="SimSun" w:hAnsi="Times New Roman"/>
          <w:b/>
          <w:sz w:val="28"/>
          <w:szCs w:val="24"/>
          <w:lang w:val="en-GB" w:eastAsia="zh-CN"/>
        </w:rPr>
        <w:t>JP</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2954FBAD" w:rsidR="00E6293B" w:rsidRPr="00C955C7" w:rsidRDefault="00A34B44" w:rsidP="00B2168E">
            <w:pPr>
              <w:suppressAutoHyphens/>
              <w:rPr>
                <w:rFonts w:ascii="Times New Roman" w:hAnsi="Times New Roman"/>
                <w:b/>
                <w:sz w:val="24"/>
                <w:szCs w:val="24"/>
                <w:lang w:val="en-GB"/>
              </w:rPr>
            </w:pPr>
            <w:r>
              <w:rPr>
                <w:rFonts w:ascii="Times New Roman" w:hAnsi="Times New Roman"/>
                <w:b/>
                <w:sz w:val="24"/>
                <w:szCs w:val="24"/>
                <w:lang w:val="en-GB"/>
              </w:rPr>
              <w:t>24152</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B91287" w:rsidRDefault="000355CA" w:rsidP="00AE5E7F">
      <w:pPr>
        <w:spacing w:before="136"/>
        <w:ind w:right="144"/>
        <w:rPr>
          <w:rFonts w:ascii="Times New Roman" w:hAnsi="Times New Roman"/>
          <w:szCs w:val="22"/>
          <w:lang w:val="en-CA"/>
        </w:rPr>
      </w:pPr>
      <w:r w:rsidRPr="00B91287">
        <w:rPr>
          <w:rFonts w:ascii="Times New Roman" w:hAnsi="Times New Roman"/>
          <w:szCs w:val="22"/>
          <w:lang w:val="en-CA"/>
        </w:rPr>
        <w:t xml:space="preserve">This document includes </w:t>
      </w:r>
      <w:r w:rsidR="002A4736" w:rsidRPr="00B91287">
        <w:rPr>
          <w:rFonts w:ascii="Times New Roman" w:hAnsi="Times New Roman"/>
          <w:szCs w:val="22"/>
          <w:lang w:val="en-CA"/>
        </w:rPr>
        <w:t>technolog</w:t>
      </w:r>
      <w:r w:rsidR="00175229" w:rsidRPr="00B91287">
        <w:rPr>
          <w:rFonts w:ascii="Times New Roman" w:hAnsi="Times New Roman"/>
          <w:szCs w:val="22"/>
          <w:lang w:val="en-CA"/>
        </w:rPr>
        <w:t xml:space="preserve">ies </w:t>
      </w:r>
      <w:r w:rsidR="002A4736" w:rsidRPr="00B91287">
        <w:rPr>
          <w:rFonts w:ascii="Times New Roman" w:hAnsi="Times New Roman"/>
          <w:szCs w:val="22"/>
          <w:lang w:val="en-CA"/>
        </w:rPr>
        <w:t>under consideration</w:t>
      </w:r>
      <w:r w:rsidR="00175229" w:rsidRPr="00B91287">
        <w:rPr>
          <w:rFonts w:ascii="Times New Roman" w:hAnsi="Times New Roman"/>
          <w:szCs w:val="22"/>
          <w:lang w:val="en-CA"/>
        </w:rPr>
        <w:t xml:space="preserve"> for ISO/ IEC 23090-2 (OMAF)</w:t>
      </w:r>
      <w:r w:rsidR="00C419F1" w:rsidRPr="00B91287">
        <w:rPr>
          <w:rFonts w:ascii="Times New Roman" w:hAnsi="Times New Roman"/>
          <w:szCs w:val="22"/>
          <w:lang w:val="en-CA"/>
        </w:rPr>
        <w:t xml:space="preserve"> </w:t>
      </w:r>
    </w:p>
    <w:p w14:paraId="3D78DFB8" w14:textId="77777777" w:rsidR="00175229" w:rsidRPr="00B91287" w:rsidRDefault="00175229" w:rsidP="00AE5E7F">
      <w:pPr>
        <w:spacing w:before="136"/>
        <w:ind w:right="144"/>
        <w:rPr>
          <w:rFonts w:ascii="Times New Roman" w:hAnsi="Times New Roman"/>
          <w:szCs w:val="22"/>
          <w:lang w:val="en-CA"/>
        </w:rPr>
      </w:pPr>
      <w:r w:rsidRPr="00B91287">
        <w:rPr>
          <w:rFonts w:ascii="Times New Roman" w:hAnsi="Times New Roman"/>
          <w:szCs w:val="22"/>
          <w:lang w:val="en-CA"/>
        </w:rPr>
        <w:t>This includes the following:</w:t>
      </w:r>
    </w:p>
    <w:p w14:paraId="4BC8E606" w14:textId="0E78A4D8" w:rsidR="00BF3564" w:rsidRPr="00B91287" w:rsidRDefault="00BF3564">
      <w:pPr>
        <w:pStyle w:val="ListParagraph"/>
        <w:numPr>
          <w:ilvl w:val="0"/>
          <w:numId w:val="38"/>
        </w:numPr>
        <w:spacing w:before="136"/>
        <w:ind w:right="144"/>
        <w:rPr>
          <w:sz w:val="22"/>
          <w:szCs w:val="22"/>
          <w:lang w:val="en-CA"/>
        </w:rPr>
      </w:pPr>
      <w:bookmarkStart w:id="2" w:name="OLE_LINK60"/>
      <w:bookmarkStart w:id="3" w:name="OLE_LINK61"/>
      <w:r w:rsidRPr="00B91287">
        <w:rPr>
          <w:sz w:val="22"/>
          <w:szCs w:val="22"/>
          <w:lang w:val="en-CA"/>
        </w:rPr>
        <w:t>Adaptation parameters for foveated rendering (m61227)</w:t>
      </w:r>
    </w:p>
    <w:bookmarkEnd w:id="2"/>
    <w:bookmarkEnd w:id="3"/>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Pr="00B91287" w:rsidRDefault="00857F97" w:rsidP="00842852">
      <w:pPr>
        <w:rPr>
          <w:rFonts w:ascii="Times New Roman" w:hAnsi="Times New Roman"/>
          <w:szCs w:val="22"/>
          <w:lang w:eastAsia="ja-JP"/>
        </w:rPr>
      </w:pPr>
    </w:p>
    <w:p w14:paraId="70F68B19" w14:textId="5108A427" w:rsidR="00857F97" w:rsidRPr="00B91287" w:rsidRDefault="00857F97" w:rsidP="00857F97">
      <w:pPr>
        <w:rPr>
          <w:rFonts w:ascii="Times New Roman" w:hAnsi="Times New Roman"/>
          <w:szCs w:val="22"/>
          <w:lang w:eastAsia="ja-JP"/>
        </w:rPr>
      </w:pPr>
      <w:r w:rsidRPr="00B91287">
        <w:rPr>
          <w:rFonts w:ascii="Times New Roman" w:hAnsi="Times New Roman"/>
          <w:szCs w:val="22"/>
          <w:lang w:eastAsia="ja-JP"/>
        </w:rPr>
        <w:t>In the server-side dynamic adaptation,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B91287" w:rsidRDefault="00857F97">
      <w:pPr>
        <w:pStyle w:val="ListParagraph"/>
        <w:numPr>
          <w:ilvl w:val="0"/>
          <w:numId w:val="53"/>
        </w:numPr>
        <w:rPr>
          <w:sz w:val="22"/>
          <w:szCs w:val="22"/>
          <w:lang w:eastAsia="ja-JP"/>
        </w:rPr>
      </w:pPr>
      <w:r w:rsidRPr="00B91287">
        <w:rPr>
          <w:sz w:val="22"/>
          <w:szCs w:val="22"/>
          <w:lang w:eastAsia="ja-JP"/>
        </w:rPr>
        <w:t>URL query parameters</w:t>
      </w:r>
    </w:p>
    <w:p w14:paraId="557D41ED" w14:textId="77777777" w:rsidR="00857F97" w:rsidRPr="00B91287" w:rsidRDefault="00857F97">
      <w:pPr>
        <w:pStyle w:val="ListParagraph"/>
        <w:numPr>
          <w:ilvl w:val="0"/>
          <w:numId w:val="53"/>
        </w:numPr>
        <w:rPr>
          <w:sz w:val="22"/>
          <w:szCs w:val="22"/>
          <w:lang w:eastAsia="ja-JP"/>
        </w:rPr>
      </w:pPr>
      <w:r w:rsidRPr="00B91287">
        <w:rPr>
          <w:sz w:val="22"/>
          <w:szCs w:val="22"/>
          <w:lang w:eastAsia="ja-JP"/>
        </w:rPr>
        <w:t>HTTP header parameters</w:t>
      </w:r>
    </w:p>
    <w:p w14:paraId="415708F3" w14:textId="77777777" w:rsidR="00857F97" w:rsidRPr="00B91287" w:rsidRDefault="00857F97" w:rsidP="00857F97">
      <w:pPr>
        <w:rPr>
          <w:rFonts w:ascii="Times New Roman" w:hAnsi="Times New Roman"/>
          <w:szCs w:val="22"/>
          <w:lang w:eastAsia="ja-JP"/>
        </w:rPr>
      </w:pPr>
    </w:p>
    <w:p w14:paraId="0D7A3835" w14:textId="2065750F" w:rsidR="00857F97" w:rsidRPr="00872D4D" w:rsidRDefault="00857F97" w:rsidP="00857F97">
      <w:pPr>
        <w:rPr>
          <w:rFonts w:ascii="Times New Roman" w:hAnsi="Times New Roman"/>
          <w:lang w:eastAsia="ja-JP"/>
        </w:rPr>
      </w:pPr>
      <w:r w:rsidRPr="00B91287">
        <w:rPr>
          <w:rFonts w:ascii="Times New Roman" w:hAnsi="Times New Roman"/>
          <w:szCs w:val="22"/>
          <w:lang w:eastAsia="ja-JP"/>
        </w:rPr>
        <w:t>To enable foveated rendering at the server</w:t>
      </w:r>
      <w:r w:rsidRPr="00ED556E">
        <w:rPr>
          <w:rFonts w:ascii="Times New Roman" w:hAnsi="Times New Roman"/>
          <w:lang w:eastAsia="ja-JP"/>
        </w:rPr>
        <w:t>-side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2: foveal, blended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91287" w:rsidRDefault="00857F97" w:rsidP="00857F97">
      <w:pPr>
        <w:rPr>
          <w:rFonts w:ascii="Times New Roman" w:hAnsi="Times New Roman"/>
          <w:szCs w:val="22"/>
          <w:lang w:val="en-GB" w:eastAsia="ja-JP"/>
        </w:rPr>
      </w:pPr>
      <w:bookmarkStart w:id="4" w:name="_Hlk117024553"/>
      <w:r w:rsidRPr="00B91287">
        <w:rPr>
          <w:rFonts w:ascii="Times New Roman" w:hAnsi="Times New Roman"/>
          <w:szCs w:val="22"/>
          <w:lang w:val="en-GB" w:eastAsia="ja-JP"/>
        </w:rPr>
        <w:lastRenderedPageBreak/>
        <w:t>With these parameters in DASH http requests for segments related to a foveated viewport, it is expected to return an http response containing:</w:t>
      </w:r>
    </w:p>
    <w:p w14:paraId="6F0C99DF"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a foveated viewport segment; this is a server-side adaptation or rendering, or</w:t>
      </w:r>
    </w:p>
    <w:p w14:paraId="5177E670"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4"/>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6"/>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24640" w14:textId="77777777" w:rsidR="009E097E" w:rsidRDefault="009E097E" w:rsidP="000A1FAE">
      <w:r>
        <w:separator/>
      </w:r>
    </w:p>
  </w:endnote>
  <w:endnote w:type="continuationSeparator" w:id="0">
    <w:p w14:paraId="1BC907DD" w14:textId="77777777" w:rsidR="009E097E" w:rsidRDefault="009E097E" w:rsidP="000A1FAE">
      <w:r>
        <w:continuationSeparator/>
      </w:r>
    </w:p>
  </w:endnote>
  <w:endnote w:type="continuationNotice" w:id="1">
    <w:p w14:paraId="3C690FEB" w14:textId="77777777" w:rsidR="009E097E" w:rsidRDefault="009E09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56881" w14:textId="77777777" w:rsidR="00107ADC" w:rsidRDefault="0010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46A2F" w14:textId="77777777" w:rsidR="00107ADC" w:rsidRDefault="00107A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8EFB" w14:textId="77777777" w:rsidR="00107ADC" w:rsidRDefault="0010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09EAF" w14:textId="77777777" w:rsidR="009E097E" w:rsidRDefault="009E097E" w:rsidP="000A1FAE">
      <w:r>
        <w:separator/>
      </w:r>
    </w:p>
  </w:footnote>
  <w:footnote w:type="continuationSeparator" w:id="0">
    <w:p w14:paraId="7B94D09B" w14:textId="77777777" w:rsidR="009E097E" w:rsidRDefault="009E097E" w:rsidP="000A1FAE">
      <w:r>
        <w:continuationSeparator/>
      </w:r>
    </w:p>
  </w:footnote>
  <w:footnote w:type="continuationNotice" w:id="1">
    <w:p w14:paraId="6ADFF145" w14:textId="77777777" w:rsidR="009E097E" w:rsidRDefault="009E09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B73AC" w14:textId="77777777" w:rsidR="00107ADC" w:rsidRDefault="0010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4E3D3" w14:textId="77777777" w:rsidR="00107ADC" w:rsidRDefault="00107A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2A106" w14:textId="77777777" w:rsidR="00107ADC" w:rsidRDefault="00107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2696764">
    <w:abstractNumId w:val="51"/>
  </w:num>
  <w:num w:numId="2" w16cid:durableId="1595163598">
    <w:abstractNumId w:val="15"/>
  </w:num>
  <w:num w:numId="3" w16cid:durableId="1120492312">
    <w:abstractNumId w:val="29"/>
  </w:num>
  <w:num w:numId="4" w16cid:durableId="1873685168">
    <w:abstractNumId w:val="44"/>
  </w:num>
  <w:num w:numId="5" w16cid:durableId="998188136">
    <w:abstractNumId w:val="52"/>
  </w:num>
  <w:num w:numId="6" w16cid:durableId="1778137968">
    <w:abstractNumId w:val="0"/>
  </w:num>
  <w:num w:numId="7" w16cid:durableId="1445226333">
    <w:abstractNumId w:val="47"/>
  </w:num>
  <w:num w:numId="8" w16cid:durableId="1984383053">
    <w:abstractNumId w:val="35"/>
  </w:num>
  <w:num w:numId="9" w16cid:durableId="744914846">
    <w:abstractNumId w:val="12"/>
  </w:num>
  <w:num w:numId="10" w16cid:durableId="229115822">
    <w:abstractNumId w:val="48"/>
  </w:num>
  <w:num w:numId="11" w16cid:durableId="809590828">
    <w:abstractNumId w:val="11"/>
  </w:num>
  <w:num w:numId="12" w16cid:durableId="642125016">
    <w:abstractNumId w:val="5"/>
  </w:num>
  <w:num w:numId="13" w16cid:durableId="1999187954">
    <w:abstractNumId w:val="30"/>
  </w:num>
  <w:num w:numId="14" w16cid:durableId="1803691047">
    <w:abstractNumId w:val="14"/>
  </w:num>
  <w:num w:numId="15" w16cid:durableId="1395854247">
    <w:abstractNumId w:val="19"/>
  </w:num>
  <w:num w:numId="16" w16cid:durableId="755714861">
    <w:abstractNumId w:val="50"/>
  </w:num>
  <w:num w:numId="17" w16cid:durableId="1429764682">
    <w:abstractNumId w:val="31"/>
  </w:num>
  <w:num w:numId="18" w16cid:durableId="81685261">
    <w:abstractNumId w:val="23"/>
  </w:num>
  <w:num w:numId="19" w16cid:durableId="404035358">
    <w:abstractNumId w:val="2"/>
  </w:num>
  <w:num w:numId="20" w16cid:durableId="172888715">
    <w:abstractNumId w:val="1"/>
  </w:num>
  <w:num w:numId="21" w16cid:durableId="728382098">
    <w:abstractNumId w:val="40"/>
  </w:num>
  <w:num w:numId="22" w16cid:durableId="1828787260">
    <w:abstractNumId w:val="42"/>
  </w:num>
  <w:num w:numId="23" w16cid:durableId="1269191699">
    <w:abstractNumId w:val="38"/>
  </w:num>
  <w:num w:numId="24" w16cid:durableId="1326200692">
    <w:abstractNumId w:val="17"/>
  </w:num>
  <w:num w:numId="25" w16cid:durableId="1180847786">
    <w:abstractNumId w:val="33"/>
  </w:num>
  <w:num w:numId="26" w16cid:durableId="523790515">
    <w:abstractNumId w:val="10"/>
  </w:num>
  <w:num w:numId="27" w16cid:durableId="2072072747">
    <w:abstractNumId w:val="13"/>
  </w:num>
  <w:num w:numId="28" w16cid:durableId="292635923">
    <w:abstractNumId w:val="25"/>
  </w:num>
  <w:num w:numId="29" w16cid:durableId="429662537">
    <w:abstractNumId w:val="54"/>
  </w:num>
  <w:num w:numId="30" w16cid:durableId="1516967071">
    <w:abstractNumId w:val="9"/>
  </w:num>
  <w:num w:numId="31" w16cid:durableId="858471606">
    <w:abstractNumId w:val="3"/>
  </w:num>
  <w:num w:numId="32" w16cid:durableId="1437289048">
    <w:abstractNumId w:val="8"/>
  </w:num>
  <w:num w:numId="33" w16cid:durableId="522213503">
    <w:abstractNumId w:val="20"/>
  </w:num>
  <w:num w:numId="34" w16cid:durableId="611086721">
    <w:abstractNumId w:val="21"/>
  </w:num>
  <w:num w:numId="35" w16cid:durableId="1912765410">
    <w:abstractNumId w:val="4"/>
  </w:num>
  <w:num w:numId="36" w16cid:durableId="1045788266">
    <w:abstractNumId w:val="39"/>
  </w:num>
  <w:num w:numId="37" w16cid:durableId="143474475">
    <w:abstractNumId w:val="34"/>
  </w:num>
  <w:num w:numId="38" w16cid:durableId="1880622971">
    <w:abstractNumId w:val="18"/>
  </w:num>
  <w:num w:numId="39" w16cid:durableId="234435062">
    <w:abstractNumId w:val="41"/>
  </w:num>
  <w:num w:numId="40" w16cid:durableId="1164975934">
    <w:abstractNumId w:val="43"/>
  </w:num>
  <w:num w:numId="41" w16cid:durableId="788670705">
    <w:abstractNumId w:val="32"/>
  </w:num>
  <w:num w:numId="42" w16cid:durableId="805195933">
    <w:abstractNumId w:val="27"/>
  </w:num>
  <w:num w:numId="43" w16cid:durableId="1637293920">
    <w:abstractNumId w:val="37"/>
  </w:num>
  <w:num w:numId="44" w16cid:durableId="871191495">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615080">
    <w:abstractNumId w:val="55"/>
  </w:num>
  <w:num w:numId="46" w16cid:durableId="939752532">
    <w:abstractNumId w:val="36"/>
  </w:num>
  <w:num w:numId="47" w16cid:durableId="715861758">
    <w:abstractNumId w:val="26"/>
  </w:num>
  <w:num w:numId="48" w16cid:durableId="668336332">
    <w:abstractNumId w:val="45"/>
  </w:num>
  <w:num w:numId="49" w16cid:durableId="165366880">
    <w:abstractNumId w:val="16"/>
  </w:num>
  <w:num w:numId="50" w16cid:durableId="1291864210">
    <w:abstractNumId w:val="22"/>
  </w:num>
  <w:num w:numId="51" w16cid:durableId="1230582410">
    <w:abstractNumId w:val="46"/>
  </w:num>
  <w:num w:numId="52" w16cid:durableId="1171798406">
    <w:abstractNumId w:val="7"/>
  </w:num>
  <w:num w:numId="53" w16cid:durableId="1023288978">
    <w:abstractNumId w:val="6"/>
  </w:num>
  <w:num w:numId="54" w16cid:durableId="7427982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9186700">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19"/>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1E6"/>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ADC"/>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2283"/>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64B"/>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4BE5"/>
    <w:rsid w:val="002955A4"/>
    <w:rsid w:val="002973F0"/>
    <w:rsid w:val="002A1552"/>
    <w:rsid w:val="002A2D6D"/>
    <w:rsid w:val="002A4736"/>
    <w:rsid w:val="002A4997"/>
    <w:rsid w:val="002A4B3B"/>
    <w:rsid w:val="002A53B6"/>
    <w:rsid w:val="002A584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B7C54"/>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6CD"/>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E6F92"/>
    <w:rsid w:val="006F0D74"/>
    <w:rsid w:val="006F121B"/>
    <w:rsid w:val="006F13CB"/>
    <w:rsid w:val="006F1ED1"/>
    <w:rsid w:val="006F221A"/>
    <w:rsid w:val="006F3A40"/>
    <w:rsid w:val="006F3FEC"/>
    <w:rsid w:val="006F422A"/>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5691"/>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2FC9"/>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3B8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11B"/>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97E"/>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3BC"/>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4B44"/>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2B0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287"/>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0E21"/>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17C"/>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2CE"/>
    <w:rsid w:val="00E0356B"/>
    <w:rsid w:val="00E0375D"/>
    <w:rsid w:val="00E04092"/>
    <w:rsid w:val="00E0466B"/>
    <w:rsid w:val="00E04D59"/>
    <w:rsid w:val="00E05641"/>
    <w:rsid w:val="00E05942"/>
    <w:rsid w:val="00E0665F"/>
    <w:rsid w:val="00E07C27"/>
    <w:rsid w:val="00E11C26"/>
    <w:rsid w:val="00E12ED2"/>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47EB0"/>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194"/>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5FE3"/>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626</Words>
  <Characters>3571</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MediaTek</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Xin Wang</dc:creator>
  <cp:lastModifiedBy>Deshpande, Sachin</cp:lastModifiedBy>
  <cp:revision>38</cp:revision>
  <dcterms:created xsi:type="dcterms:W3CDTF">2022-07-27T01:13:00Z</dcterms:created>
  <dcterms:modified xsi:type="dcterms:W3CDTF">2024-07-26T04:07:00Z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Enabled">
    <vt:lpwstr>true</vt:lpwstr>
  </property>
  <property fmtid="{D5CDD505-2E9C-101B-9397-08002B2CF9AE}" pid="3" name="MSIP_Label_83bcef13-7cac-433f-ba1d-47a323951816_SetDate">
    <vt:lpwstr>2023-07-21T09:42:04Z</vt:lpwstr>
  </property>
  <property fmtid="{D5CDD505-2E9C-101B-9397-08002B2CF9AE}" pid="4" name="MSIP_Label_83bcef13-7cac-433f-ba1d-47a323951816_Method">
    <vt:lpwstr>Privileged</vt:lpwstr>
  </property>
  <property fmtid="{D5CDD505-2E9C-101B-9397-08002B2CF9AE}" pid="5" name="MSIP_Label_83bcef13-7cac-433f-ba1d-47a323951816_Name">
    <vt:lpwstr>MTK_Unclassified</vt:lpwstr>
  </property>
  <property fmtid="{D5CDD505-2E9C-101B-9397-08002B2CF9AE}" pid="6" name="MSIP_Label_83bcef13-7cac-433f-ba1d-47a323951816_SiteId">
    <vt:lpwstr>a7687ede-7a6b-4ef6-bace-642f677fbe31</vt:lpwstr>
  </property>
  <property fmtid="{D5CDD505-2E9C-101B-9397-08002B2CF9AE}" pid="7" name="MSIP_Label_83bcef13-7cac-433f-ba1d-47a323951816_ActionId">
    <vt:lpwstr>be8750fb-98b7-4c34-95d4-e49d3cd16c6b</vt:lpwstr>
  </property>
  <property fmtid="{D5CDD505-2E9C-101B-9397-08002B2CF9AE}" pid="8" name="MSIP_Label_83bcef13-7cac-433f-ba1d-47a323951816_ContentBits">
    <vt:lpwstr>0</vt:lpwstr>
  </property>
</Properties>
</file>