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647D60C4"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1B31A8">
        <w:rPr>
          <w:rFonts w:ascii="Times New Roman" w:hAnsi="Times New Roman" w:cs="Times New Roman"/>
          <w:spacing w:val="28"/>
          <w:w w:val="115"/>
          <w:sz w:val="48"/>
          <w:szCs w:val="48"/>
          <w:highlight w:val="yellow"/>
          <w:u w:val="thick"/>
          <w:lang w:val="en-GB"/>
        </w:rPr>
        <w:t>1199</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5DAA1E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1B31A8">
        <w:rPr>
          <w:rFonts w:ascii="Times New Roman" w:hAnsi="Times New Roman" w:cs="Times New Roman"/>
          <w:noProof/>
          <w:snapToGrid w:val="0"/>
          <w:sz w:val="24"/>
          <w:szCs w:val="24"/>
          <w:highlight w:val="yellow"/>
          <w:lang w:val="en-GB"/>
        </w:rPr>
        <w:t>2024-0</w:t>
      </w:r>
      <w:r w:rsidR="001B31A8">
        <w:rPr>
          <w:rFonts w:ascii="Times New Roman" w:hAnsi="Times New Roman" w:cs="Times New Roman"/>
          <w:noProof/>
          <w:snapToGrid w:val="0"/>
          <w:sz w:val="24"/>
          <w:szCs w:val="24"/>
          <w:highlight w:val="yellow"/>
          <w:lang w:val="en-GB"/>
        </w:rPr>
        <w:t>4</w:t>
      </w:r>
      <w:r w:rsidR="001B31A8">
        <w:rPr>
          <w:rFonts w:ascii="Times New Roman" w:hAnsi="Times New Roman" w:cs="Times New Roman"/>
          <w:noProof/>
          <w:snapToGrid w:val="0"/>
          <w:sz w:val="24"/>
          <w:szCs w:val="24"/>
          <w:highlight w:val="yellow"/>
          <w:lang w:val="en-GB"/>
        </w:rPr>
        <w:t>-2</w:t>
      </w:r>
      <w:r w:rsidR="001B31A8">
        <w:rPr>
          <w:rFonts w:ascii="Times New Roman" w:hAnsi="Times New Roman" w:cs="Times New Roman"/>
          <w:noProof/>
          <w:snapToGrid w:val="0"/>
          <w:sz w:val="24"/>
          <w:szCs w:val="24"/>
          <w:highlight w:val="yellow"/>
          <w:lang w:val="en-GB"/>
        </w:rPr>
        <w:t>6</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226C0F">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3D7C2C4"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1B31A8">
        <w:rPr>
          <w:rFonts w:ascii="Times New Roman" w:eastAsia="SimSun" w:hAnsi="Times New Roman" w:cs="Times New Roman"/>
          <w:b/>
          <w:sz w:val="48"/>
          <w:szCs w:val="24"/>
          <w:highlight w:val="yellow"/>
          <w:lang w:val="en-GB" w:eastAsia="zh-CN"/>
        </w:rPr>
        <w:t>1199</w:t>
      </w:r>
      <w:r w:rsidR="004C352E">
        <w:rPr>
          <w:rFonts w:ascii="Times New Roman" w:eastAsia="SimSun" w:hAnsi="Times New Roman" w:cs="Times New Roman"/>
          <w:b/>
          <w:sz w:val="48"/>
          <w:szCs w:val="24"/>
          <w:highlight w:val="yellow"/>
          <w:lang w:val="en-GB" w:eastAsia="zh-CN"/>
        </w:rPr>
        <w:fldChar w:fldCharType="end"/>
      </w:r>
    </w:p>
    <w:p w14:paraId="40403B12" w14:textId="7B9137EC" w:rsidR="00954B0D" w:rsidRPr="00C955C7" w:rsidRDefault="001B31A8"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Pr>
          <w:rFonts w:ascii="Times New Roman" w:eastAsia="SimSun" w:hAnsi="Times New Roman" w:cs="Times New Roman"/>
          <w:b/>
          <w:noProof/>
          <w:sz w:val="28"/>
          <w:szCs w:val="24"/>
          <w:highlight w:val="yellow"/>
          <w:lang w:val="en-GB" w:eastAsia="zh-CN"/>
        </w:rPr>
        <w:t>April 2024</w:t>
      </w:r>
      <w:r w:rsidRPr="004C352E">
        <w:rPr>
          <w:rFonts w:ascii="Times New Roman" w:eastAsia="SimSun" w:hAnsi="Times New Roman" w:cs="Times New Roman"/>
          <w:b/>
          <w:sz w:val="28"/>
          <w:szCs w:val="24"/>
          <w:highlight w:val="yellow"/>
          <w:lang w:val="en-GB" w:eastAsia="zh-CN"/>
        </w:rPr>
        <w:fldChar w:fldCharType="end"/>
      </w:r>
      <w:r w:rsidRPr="00C955C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Rennes FR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8D8D18E"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1B31A8">
              <w:rPr>
                <w:rFonts w:ascii="Times New Roman" w:hAnsi="Times New Roman" w:cs="Times New Roman"/>
                <w:b/>
                <w:sz w:val="24"/>
                <w:szCs w:val="24"/>
                <w:highlight w:val="yellow"/>
                <w:lang w:val="en-GB"/>
              </w:rPr>
              <w:t>23809</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226C0F">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D6DB5" w14:textId="77777777" w:rsidR="00226C0F" w:rsidRDefault="00226C0F" w:rsidP="009E784A">
      <w:r>
        <w:separator/>
      </w:r>
    </w:p>
  </w:endnote>
  <w:endnote w:type="continuationSeparator" w:id="0">
    <w:p w14:paraId="1F045A3F" w14:textId="77777777" w:rsidR="00226C0F" w:rsidRDefault="00226C0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C13B26" w:rsidRPr="00E0681D" w:rsidRDefault="00C13B2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97E59" w14:textId="77777777" w:rsidR="00226C0F" w:rsidRDefault="00226C0F" w:rsidP="009E784A">
      <w:r>
        <w:separator/>
      </w:r>
    </w:p>
  </w:footnote>
  <w:footnote w:type="continuationSeparator" w:id="0">
    <w:p w14:paraId="68CEC596" w14:textId="77777777" w:rsidR="00226C0F" w:rsidRDefault="00226C0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C13B26" w:rsidRPr="00E0681D" w:rsidRDefault="00C13B2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64497619">
    <w:abstractNumId w:val="4"/>
  </w:num>
  <w:num w:numId="2" w16cid:durableId="272173880">
    <w:abstractNumId w:val="5"/>
  </w:num>
  <w:num w:numId="3" w16cid:durableId="2049121">
    <w:abstractNumId w:val="6"/>
  </w:num>
  <w:num w:numId="4" w16cid:durableId="1088112532">
    <w:abstractNumId w:val="10"/>
  </w:num>
  <w:num w:numId="5" w16cid:durableId="1863938275">
    <w:abstractNumId w:val="11"/>
  </w:num>
  <w:num w:numId="6" w16cid:durableId="309402291">
    <w:abstractNumId w:val="7"/>
  </w:num>
  <w:num w:numId="7" w16cid:durableId="537085104">
    <w:abstractNumId w:val="3"/>
  </w:num>
  <w:num w:numId="8" w16cid:durableId="625624362">
    <w:abstractNumId w:val="1"/>
  </w:num>
  <w:num w:numId="9" w16cid:durableId="195332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9"/>
  </w:num>
  <w:num w:numId="11" w16cid:durableId="435446976">
    <w:abstractNumId w:val="8"/>
  </w:num>
  <w:num w:numId="12" w16cid:durableId="441846592">
    <w:abstractNumId w:val="2"/>
  </w:num>
  <w:num w:numId="13" w16cid:durableId="12518899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7777D"/>
    <w:rsid w:val="0018563E"/>
    <w:rsid w:val="00195FF0"/>
    <w:rsid w:val="00196997"/>
    <w:rsid w:val="001B31A8"/>
    <w:rsid w:val="001C0610"/>
    <w:rsid w:val="001E18A9"/>
    <w:rsid w:val="001F0A19"/>
    <w:rsid w:val="00226C0F"/>
    <w:rsid w:val="002275FF"/>
    <w:rsid w:val="00263789"/>
    <w:rsid w:val="003226C8"/>
    <w:rsid w:val="00385C5D"/>
    <w:rsid w:val="003B0FC6"/>
    <w:rsid w:val="003F4C08"/>
    <w:rsid w:val="004C352E"/>
    <w:rsid w:val="004E459B"/>
    <w:rsid w:val="004E45B6"/>
    <w:rsid w:val="004F5473"/>
    <w:rsid w:val="005217E5"/>
    <w:rsid w:val="00540DEA"/>
    <w:rsid w:val="005612C2"/>
    <w:rsid w:val="005C1345"/>
    <w:rsid w:val="005C2A51"/>
    <w:rsid w:val="00622C6C"/>
    <w:rsid w:val="0063127E"/>
    <w:rsid w:val="00651912"/>
    <w:rsid w:val="00666CD1"/>
    <w:rsid w:val="007F537F"/>
    <w:rsid w:val="00804D88"/>
    <w:rsid w:val="00805670"/>
    <w:rsid w:val="00827179"/>
    <w:rsid w:val="00881CCB"/>
    <w:rsid w:val="008E7795"/>
    <w:rsid w:val="00952684"/>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13B26"/>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20</Pages>
  <Words>4001</Words>
  <Characters>22812</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 Wang</cp:lastModifiedBy>
  <cp:revision>7</cp:revision>
  <dcterms:created xsi:type="dcterms:W3CDTF">2023-04-28T06:59:00Z</dcterms:created>
  <dcterms:modified xsi:type="dcterms:W3CDTF">2024-04-26T19:38:00Z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1199</vt:lpwstr>
  </property>
  <property fmtid="{D5CDD505-2E9C-101B-9397-08002B2CF9AE}" pid="3" name="MDMSNumber">
    <vt:lpwstr>23809</vt:lpwstr>
  </property>
</Properties>
</file>