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7446E5" w14:textId="7C72DE13" w:rsidR="008E4516" w:rsidRDefault="008E4516" w:rsidP="008E4516">
      <w:pPr>
        <w:tabs>
          <w:tab w:val="left" w:pos="4589"/>
        </w:tabs>
        <w:spacing w:before="90"/>
        <w:ind w:left="1194" w:firstLine="1194"/>
        <w:jc w:val="right"/>
        <w:rPr>
          <w:rFonts w:eastAsia="Times New Roman"/>
          <w:b/>
          <w:color w:val="000000"/>
          <w:sz w:val="28"/>
          <w:szCs w:val="28"/>
          <w:lang w:val="it-IT"/>
        </w:rPr>
      </w:pPr>
      <w:r>
        <w:rPr>
          <w:rFonts w:eastAsia="Times New Roman"/>
          <w:b/>
          <w:color w:val="000000"/>
          <w:sz w:val="28"/>
          <w:szCs w:val="28"/>
          <w:u w:val="thick"/>
          <w:lang w:val="en-GB"/>
        </w:rPr>
        <w:t xml:space="preserve">ISO/IEC JTC 1/SC 29/AG 03 </w:t>
      </w:r>
      <w:r>
        <w:rPr>
          <w:rFonts w:eastAsia="Times New Roman"/>
          <w:b/>
          <w:color w:val="000000"/>
          <w:sz w:val="48"/>
          <w:szCs w:val="48"/>
          <w:u w:val="thick"/>
          <w:lang w:val="en-GB"/>
        </w:rPr>
        <w:t>N</w:t>
      </w:r>
      <w:r>
        <w:rPr>
          <w:noProof/>
        </w:rPr>
        <w:drawing>
          <wp:anchor distT="0" distB="0" distL="0" distR="0" simplePos="0" relativeHeight="251659264" behindDoc="0" locked="0" layoutInCell="0" allowOverlap="1" wp14:anchorId="69A2BC55" wp14:editId="2320088F">
            <wp:simplePos x="0" y="0"/>
            <wp:positionH relativeFrom="column">
              <wp:posOffset>-2540</wp:posOffset>
            </wp:positionH>
            <wp:positionV relativeFrom="paragraph">
              <wp:posOffset>59690</wp:posOffset>
            </wp:positionV>
            <wp:extent cx="1239520" cy="537845"/>
            <wp:effectExtent l="0" t="0" r="0" b="0"/>
            <wp:wrapNone/>
            <wp:docPr id="2064034706" name="그림 206403470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g" descr="Graphical user interface, text&#10;&#10;Description automatically generated"/>
                    <pic:cNvPicPr>
                      <a:picLocks noChangeAspect="1" noChangeArrowheads="1"/>
                    </pic:cNvPicPr>
                  </pic:nvPicPr>
                  <pic:blipFill>
                    <a:blip r:embed="rId6"/>
                    <a:stretch>
                      <a:fillRect/>
                    </a:stretch>
                  </pic:blipFill>
                  <pic:spPr bwMode="auto">
                    <a:xfrm>
                      <a:off x="0" y="0"/>
                      <a:ext cx="1239520" cy="537845"/>
                    </a:xfrm>
                    <a:prstGeom prst="rect">
                      <a:avLst/>
                    </a:prstGeom>
                  </pic:spPr>
                </pic:pic>
              </a:graphicData>
            </a:graphic>
          </wp:anchor>
        </w:drawing>
      </w:r>
      <w:r>
        <w:rPr>
          <w:rFonts w:eastAsia="Times New Roman"/>
          <w:b/>
          <w:color w:val="000000"/>
          <w:sz w:val="48"/>
          <w:szCs w:val="48"/>
          <w:u w:val="thick"/>
          <w:lang w:val="en-GB"/>
        </w:rPr>
        <w:t>01</w:t>
      </w:r>
      <w:r>
        <w:rPr>
          <w:rFonts w:eastAsia="Times New Roman"/>
          <w:b/>
          <w:color w:val="000000"/>
          <w:sz w:val="48"/>
          <w:szCs w:val="48"/>
          <w:u w:val="thick"/>
          <w:lang w:val="en-GB"/>
        </w:rPr>
        <w:t>1</w:t>
      </w:r>
      <w:r>
        <w:rPr>
          <w:rFonts w:eastAsia="Times New Roman"/>
          <w:b/>
          <w:color w:val="000000"/>
          <w:sz w:val="48"/>
          <w:szCs w:val="48"/>
          <w:u w:val="thick"/>
          <w:lang w:val="en-GB"/>
        </w:rPr>
        <w:t>1</w:t>
      </w:r>
    </w:p>
    <w:p w14:paraId="4FD0B0DB" w14:textId="77777777" w:rsidR="008E4516" w:rsidRDefault="008E4516" w:rsidP="008E4516">
      <w:pPr>
        <w:rPr>
          <w:rFonts w:eastAsia="Times New Roman"/>
          <w:b/>
          <w:color w:val="000000"/>
          <w:lang w:val="it-IT"/>
        </w:rPr>
      </w:pPr>
    </w:p>
    <w:p w14:paraId="141DB075" w14:textId="77777777" w:rsidR="008E4516" w:rsidRDefault="008E4516" w:rsidP="008E4516">
      <w:pPr>
        <w:rPr>
          <w:rFonts w:eastAsia="Times New Roman"/>
          <w:b/>
          <w:color w:val="000000"/>
          <w:lang w:val="it-IT"/>
        </w:rPr>
      </w:pPr>
    </w:p>
    <w:p w14:paraId="52072563" w14:textId="77777777" w:rsidR="008E4516" w:rsidRDefault="008E4516" w:rsidP="008E4516">
      <w:pPr>
        <w:spacing w:before="3"/>
        <w:rPr>
          <w:rFonts w:eastAsia="Times New Roman"/>
          <w:b/>
          <w:color w:val="000000"/>
          <w:sz w:val="23"/>
          <w:szCs w:val="23"/>
          <w:lang w:val="it-IT"/>
        </w:rPr>
      </w:pPr>
      <w:r>
        <w:rPr>
          <w:noProof/>
        </w:rPr>
        <mc:AlternateContent>
          <mc:Choice Requires="wps">
            <w:drawing>
              <wp:anchor distT="13335" distB="13335" distL="13335" distR="13335" simplePos="0" relativeHeight="251660288" behindDoc="0" locked="0" layoutInCell="0" allowOverlap="1" wp14:anchorId="1EF51D35" wp14:editId="3C6E4A21">
                <wp:simplePos x="0" y="0"/>
                <wp:positionH relativeFrom="column">
                  <wp:posOffset>635</wp:posOffset>
                </wp:positionH>
                <wp:positionV relativeFrom="paragraph">
                  <wp:posOffset>114300</wp:posOffset>
                </wp:positionV>
                <wp:extent cx="6225540" cy="1042035"/>
                <wp:effectExtent l="0" t="0" r="0" b="0"/>
                <wp:wrapTopAndBottom/>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25540" cy="1042035"/>
                        </a:xfrm>
                        <a:prstGeom prst="rect">
                          <a:avLst/>
                        </a:prstGeom>
                        <a:solidFill>
                          <a:srgbClr val="FFFFFF">
                            <a:alpha val="0"/>
                          </a:srgbClr>
                        </a:solidFill>
                        <a:ln w="635">
                          <a:solidFill>
                            <a:srgbClr val="000000"/>
                          </a:solidFill>
                        </a:ln>
                      </wps:spPr>
                      <wps:txbx>
                        <w:txbxContent>
                          <w:p w14:paraId="646DE7D2" w14:textId="77777777" w:rsidR="008E4516" w:rsidRDefault="008E4516" w:rsidP="008E4516">
                            <w:pPr>
                              <w:pStyle w:val="FrameContents"/>
                              <w:spacing w:before="80" w:line="360" w:lineRule="auto"/>
                              <w:ind w:right="50"/>
                              <w:jc w:val="center"/>
                            </w:pPr>
                            <w:r>
                              <w:rPr>
                                <w:b/>
                                <w:color w:val="000000"/>
                                <w:sz w:val="28"/>
                              </w:rPr>
                              <w:t>ISO/IEC JTC 1/SC 29/AG 03</w:t>
                            </w:r>
                            <w:r>
                              <w:rPr>
                                <w:b/>
                                <w:color w:val="000000"/>
                                <w:sz w:val="28"/>
                              </w:rPr>
                              <w:br/>
                              <w:t xml:space="preserve">MPEG Liaison and Communication </w:t>
                            </w:r>
                            <w:r>
                              <w:rPr>
                                <w:b/>
                                <w:color w:val="000000"/>
                                <w:sz w:val="28"/>
                              </w:rPr>
                              <w:br/>
                              <w:t>Convenorship: KATS (Korea, Republic of)</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type w14:anchorId="1EF51D35" id="_x0000_t202" coordsize="21600,21600" o:spt="202" path="m,l,21600r21600,l21600,xe">
                <v:stroke joinstyle="miter"/>
                <v:path gradientshapeok="t" o:connecttype="rect"/>
              </v:shapetype>
              <v:shape id="Text Box 4" o:spid="_x0000_s1026" type="#_x0000_t202" style="position:absolute;margin-left:.05pt;margin-top:9pt;width:490.2pt;height:82.05pt;z-index:251660288;visibility:visible;mso-wrap-style:square;mso-width-percent:0;mso-height-percent:0;mso-wrap-distance-left:1.05pt;mso-wrap-distance-top:1.05pt;mso-wrap-distance-right:1.05pt;mso-wrap-distance-bottom:1.0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" o:allowincell="f" strokeweight=".05pt">
                <v:fill opacity="0"/>
                <v:path arrowok="t"/>
                <v:textbox inset="0,0,0,0">
                  <w:txbxContent>
                    <w:p w14:paraId="646DE7D2" w14:textId="77777777" w:rsidR="008E4516" w:rsidRDefault="008E4516" w:rsidP="008E4516">
                      <w:pPr>
                        <w:pStyle w:val="FrameContents"/>
                        <w:spacing w:before="80" w:line="360" w:lineRule="auto"/>
                        <w:ind w:right="50"/>
                        <w:jc w:val="center"/>
                      </w:pPr>
                      <w:r>
                        <w:rPr>
                          <w:b/>
                          <w:color w:val="000000"/>
                          <w:sz w:val="28"/>
                        </w:rPr>
                        <w:t>ISO/IEC JTC 1/SC 29/AG 03</w:t>
                      </w:r>
                      <w:r>
                        <w:rPr>
                          <w:b/>
                          <w:color w:val="000000"/>
                          <w:sz w:val="28"/>
                        </w:rPr>
                        <w:br/>
                        <w:t xml:space="preserve">MPEG Liaison and Communication </w:t>
                      </w:r>
                      <w:r>
                        <w:rPr>
                          <w:b/>
                          <w:color w:val="000000"/>
                          <w:sz w:val="28"/>
                        </w:rPr>
                        <w:br/>
                        <w:t>Convenorship: KATS (Korea, Republic of)</w:t>
                      </w:r>
                    </w:p>
                  </w:txbxContent>
                </v:textbox>
                <w10:wrap type="topAndBottom"/>
              </v:shape>
            </w:pict>
          </mc:Fallback>
        </mc:AlternateContent>
      </w:r>
    </w:p>
    <w:p w14:paraId="7732193C" w14:textId="77777777" w:rsidR="008E4516" w:rsidRDefault="008E4516" w:rsidP="008E4516">
      <w:pPr>
        <w:tabs>
          <w:tab w:val="left" w:pos="3099"/>
        </w:tabs>
        <w:spacing w:before="240"/>
        <w:ind w:left="104"/>
        <w:rPr>
          <w:rFonts w:eastAsia="Times New Roman"/>
          <w:color w:val="000000"/>
          <w:sz w:val="24"/>
          <w:szCs w:val="24"/>
        </w:rPr>
      </w:pPr>
      <w:r>
        <w:rPr>
          <w:rFonts w:eastAsia="Times New Roman"/>
          <w:b/>
          <w:color w:val="000000"/>
          <w:sz w:val="24"/>
          <w:szCs w:val="24"/>
        </w:rPr>
        <w:t>Document type:</w:t>
      </w:r>
      <w:r>
        <w:rPr>
          <w:rFonts w:eastAsia="Times New Roman"/>
          <w:color w:val="000000"/>
          <w:sz w:val="24"/>
          <w:szCs w:val="24"/>
        </w:rPr>
        <w:tab/>
        <w:t>Output Document</w:t>
      </w:r>
    </w:p>
    <w:p w14:paraId="57FEFD92" w14:textId="77901954" w:rsidR="008E4516" w:rsidRDefault="008E4516" w:rsidP="008E4516">
      <w:pPr>
        <w:tabs>
          <w:tab w:val="left" w:pos="3099"/>
        </w:tabs>
        <w:spacing w:before="240"/>
        <w:ind w:left="104"/>
        <w:rPr>
          <w:rFonts w:eastAsia="Times New Roman"/>
          <w:color w:val="000000"/>
          <w:sz w:val="24"/>
          <w:szCs w:val="24"/>
        </w:rPr>
      </w:pPr>
      <w:r>
        <w:rPr>
          <w:rFonts w:eastAsia="Times New Roman"/>
          <w:b/>
          <w:color w:val="000000"/>
          <w:sz w:val="24"/>
          <w:szCs w:val="24"/>
        </w:rPr>
        <w:t>Title:</w:t>
      </w:r>
      <w:r>
        <w:rPr>
          <w:rFonts w:eastAsia="Times New Roman"/>
          <w:color w:val="000000"/>
          <w:sz w:val="24"/>
          <w:szCs w:val="24"/>
        </w:rPr>
        <w:tab/>
      </w:r>
      <w:r>
        <w:rPr>
          <w:rFonts w:eastAsia="Times New Roman"/>
          <w:color w:val="000000"/>
          <w:sz w:val="24"/>
          <w:szCs w:val="24"/>
        </w:rPr>
        <w:t>White paper on G-PCC</w:t>
      </w:r>
    </w:p>
    <w:p w14:paraId="6C529DBB" w14:textId="77777777" w:rsidR="008E4516" w:rsidRDefault="008E4516" w:rsidP="008E4516">
      <w:pPr>
        <w:tabs>
          <w:tab w:val="left" w:pos="3099"/>
        </w:tabs>
        <w:spacing w:before="240"/>
        <w:ind w:left="104"/>
        <w:rPr>
          <w:rFonts w:eastAsia="Times New Roman"/>
          <w:color w:val="000000"/>
          <w:sz w:val="24"/>
          <w:szCs w:val="24"/>
        </w:rPr>
      </w:pPr>
      <w:r>
        <w:rPr>
          <w:rFonts w:eastAsia="Times New Roman"/>
          <w:b/>
          <w:color w:val="000000"/>
          <w:sz w:val="24"/>
          <w:szCs w:val="24"/>
        </w:rPr>
        <w:t>Status:</w:t>
      </w:r>
      <w:r>
        <w:rPr>
          <w:rFonts w:eastAsia="Times New Roman"/>
          <w:color w:val="000000"/>
          <w:sz w:val="24"/>
          <w:szCs w:val="24"/>
        </w:rPr>
        <w:tab/>
        <w:t>Approved</w:t>
      </w:r>
    </w:p>
    <w:p w14:paraId="387A0B04" w14:textId="0419D310" w:rsidR="008E4516" w:rsidRDefault="008E4516" w:rsidP="008E4516">
      <w:pPr>
        <w:tabs>
          <w:tab w:val="left" w:pos="3099"/>
        </w:tabs>
        <w:spacing w:before="240"/>
        <w:ind w:left="104"/>
        <w:rPr>
          <w:rFonts w:eastAsia="Times New Roman"/>
          <w:color w:val="000000"/>
          <w:sz w:val="24"/>
          <w:szCs w:val="24"/>
        </w:rPr>
      </w:pPr>
      <w:r>
        <w:rPr>
          <w:rFonts w:eastAsia="Times New Roman"/>
          <w:b/>
          <w:color w:val="000000"/>
          <w:sz w:val="24"/>
          <w:szCs w:val="24"/>
        </w:rPr>
        <w:t>Date of document:</w:t>
      </w:r>
      <w:r>
        <w:rPr>
          <w:rFonts w:eastAsia="Times New Roman"/>
          <w:color w:val="000000"/>
          <w:sz w:val="24"/>
          <w:szCs w:val="24"/>
        </w:rPr>
        <w:tab/>
        <w:t>2023-0</w:t>
      </w:r>
      <w:r>
        <w:rPr>
          <w:rFonts w:eastAsia="Times New Roman"/>
          <w:color w:val="000000"/>
          <w:sz w:val="24"/>
          <w:szCs w:val="24"/>
        </w:rPr>
        <w:t>4</w:t>
      </w:r>
      <w:r>
        <w:rPr>
          <w:rFonts w:eastAsia="Times New Roman"/>
          <w:color w:val="000000"/>
          <w:sz w:val="24"/>
          <w:szCs w:val="24"/>
        </w:rPr>
        <w:t>-</w:t>
      </w:r>
      <w:r>
        <w:rPr>
          <w:rFonts w:eastAsia="Times New Roman"/>
          <w:color w:val="000000"/>
          <w:sz w:val="24"/>
          <w:szCs w:val="24"/>
        </w:rPr>
        <w:t>30</w:t>
      </w:r>
    </w:p>
    <w:p w14:paraId="3D056A80" w14:textId="77777777" w:rsidR="008E4516" w:rsidRDefault="008E4516" w:rsidP="008E4516">
      <w:pPr>
        <w:tabs>
          <w:tab w:val="left" w:pos="3099"/>
        </w:tabs>
        <w:spacing w:before="240"/>
        <w:ind w:left="104"/>
        <w:rPr>
          <w:rFonts w:eastAsia="Times New Roman"/>
          <w:color w:val="000000"/>
          <w:sz w:val="24"/>
          <w:szCs w:val="24"/>
        </w:rPr>
      </w:pPr>
      <w:r>
        <w:rPr>
          <w:rFonts w:eastAsia="Times New Roman"/>
          <w:b/>
          <w:color w:val="000000"/>
          <w:sz w:val="24"/>
          <w:szCs w:val="24"/>
        </w:rPr>
        <w:t>Source:</w:t>
      </w:r>
      <w:r>
        <w:rPr>
          <w:rFonts w:eastAsia="Times New Roman"/>
          <w:color w:val="000000"/>
          <w:sz w:val="24"/>
          <w:szCs w:val="24"/>
        </w:rPr>
        <w:tab/>
        <w:t>ISO/IEC JTC 1/SC 29/AG 03</w:t>
      </w:r>
    </w:p>
    <w:p w14:paraId="13D3865F" w14:textId="625CAEAE" w:rsidR="008E4516" w:rsidRDefault="008E4516" w:rsidP="008E4516">
      <w:pPr>
        <w:tabs>
          <w:tab w:val="left" w:pos="3099"/>
        </w:tabs>
        <w:spacing w:before="240"/>
        <w:ind w:left="104"/>
        <w:rPr>
          <w:rFonts w:eastAsia="Times New Roman"/>
          <w:color w:val="000000"/>
          <w:sz w:val="24"/>
          <w:szCs w:val="24"/>
        </w:rPr>
      </w:pPr>
      <w:r>
        <w:rPr>
          <w:rFonts w:eastAsia="Times New Roman"/>
          <w:b/>
          <w:color w:val="000000"/>
          <w:sz w:val="24"/>
          <w:szCs w:val="24"/>
        </w:rPr>
        <w:t>No. of pages:</w:t>
      </w:r>
      <w:r>
        <w:rPr>
          <w:rFonts w:eastAsia="Times New Roman"/>
          <w:color w:val="000000"/>
          <w:sz w:val="24"/>
          <w:szCs w:val="24"/>
        </w:rPr>
        <w:tab/>
      </w:r>
      <w:r>
        <w:rPr>
          <w:rFonts w:eastAsia="Times New Roman"/>
          <w:color w:val="000000"/>
          <w:sz w:val="24"/>
          <w:szCs w:val="24"/>
        </w:rPr>
        <w:t>7</w:t>
      </w:r>
      <w:r>
        <w:rPr>
          <w:rFonts w:eastAsia="Times New Roman"/>
          <w:color w:val="000000"/>
          <w:sz w:val="24"/>
          <w:szCs w:val="24"/>
        </w:rPr>
        <w:t xml:space="preserve"> (with cover page)</w:t>
      </w:r>
    </w:p>
    <w:p w14:paraId="34D6A422" w14:textId="77777777" w:rsidR="008E4516" w:rsidRDefault="008E4516" w:rsidP="008E4516">
      <w:pPr>
        <w:tabs>
          <w:tab w:val="left" w:pos="3099"/>
        </w:tabs>
        <w:spacing w:before="240"/>
        <w:ind w:left="104"/>
        <w:rPr>
          <w:rFonts w:eastAsia="Times New Roman"/>
          <w:color w:val="000000"/>
          <w:sz w:val="24"/>
          <w:szCs w:val="24"/>
        </w:rPr>
      </w:pPr>
      <w:r>
        <w:rPr>
          <w:rFonts w:eastAsia="Times New Roman"/>
          <w:b/>
          <w:color w:val="000000"/>
          <w:sz w:val="24"/>
          <w:szCs w:val="24"/>
        </w:rPr>
        <w:t>Email of Convenor:</w:t>
      </w:r>
      <w:r>
        <w:rPr>
          <w:rFonts w:eastAsia="Times New Roman"/>
          <w:color w:val="000000"/>
          <w:sz w:val="24"/>
          <w:szCs w:val="24"/>
        </w:rPr>
        <w:tab/>
        <w:t>kyuheonkim@khu.ac.kr</w:t>
      </w:r>
    </w:p>
    <w:p w14:paraId="296379FB" w14:textId="77777777" w:rsidR="008E4516" w:rsidRDefault="008E4516" w:rsidP="008E4516">
      <w:pPr>
        <w:tabs>
          <w:tab w:val="left" w:pos="3099"/>
        </w:tabs>
        <w:spacing w:before="240"/>
        <w:ind w:left="104"/>
        <w:rPr>
          <w:rFonts w:eastAsia="Times New Roman"/>
          <w:color w:val="0000EE"/>
          <w:sz w:val="24"/>
          <w:szCs w:val="24"/>
        </w:rPr>
        <w:sectPr w:rsidR="008E4516">
          <w:pgSz w:w="11906" w:h="16838"/>
          <w:pgMar w:top="540" w:right="980" w:bottom="280" w:left="1000" w:header="0" w:footer="0" w:gutter="0"/>
          <w:pgNumType w:start="1"/>
          <w:cols w:space="720"/>
          <w:formProt w:val="0"/>
          <w:docGrid w:linePitch="100" w:charSpace="20480"/>
        </w:sectPr>
      </w:pPr>
      <w:r>
        <w:rPr>
          <w:rFonts w:eastAsia="Times New Roman"/>
          <w:b/>
          <w:color w:val="000000"/>
          <w:sz w:val="24"/>
          <w:szCs w:val="24"/>
        </w:rPr>
        <w:t>Committee URL:</w:t>
      </w:r>
      <w:r>
        <w:rPr>
          <w:rFonts w:eastAsia="Times New Roman"/>
          <w:color w:val="000000"/>
          <w:sz w:val="24"/>
          <w:szCs w:val="24"/>
        </w:rPr>
        <w:tab/>
      </w:r>
      <w:hyperlink r:id="rId7" w:history="1">
        <w:r w:rsidRPr="008721AF">
          <w:rPr>
            <w:rStyle w:val="a6"/>
            <w:sz w:val="24"/>
            <w:szCs w:val="24"/>
          </w:rPr>
          <w:t>https://isotc.iso.org/livelink/livelink/open/jtc1sc29ag3</w:t>
        </w:r>
      </w:hyperlink>
      <w:r>
        <w:rPr>
          <w:sz w:val="24"/>
          <w:szCs w:val="24"/>
        </w:rPr>
        <w:t xml:space="preserve"> </w:t>
      </w:r>
    </w:p>
    <w:p w14:paraId="684B4C8D" w14:textId="77777777" w:rsidR="008E4516" w:rsidRDefault="008E4516" w:rsidP="008E4516">
      <w:pPr>
        <w:jc w:val="center"/>
        <w:rPr>
          <w:rFonts w:eastAsia="SimSun"/>
          <w:b/>
          <w:sz w:val="28"/>
          <w:szCs w:val="24"/>
          <w:lang w:val="fr-FR" w:eastAsia="zh-CN"/>
        </w:rPr>
      </w:pPr>
      <w:r>
        <w:rPr>
          <w:rFonts w:eastAsia="SimSun"/>
          <w:b/>
          <w:sz w:val="28"/>
          <w:szCs w:val="24"/>
          <w:lang w:val="fr-FR" w:eastAsia="zh-CN"/>
        </w:rPr>
        <w:lastRenderedPageBreak/>
        <w:t>INTERNATIONAL ORGANISATION FOR STANDARDISATION</w:t>
      </w:r>
    </w:p>
    <w:p w14:paraId="2BC4AA2C" w14:textId="77777777" w:rsidR="008E4516" w:rsidRDefault="008E4516" w:rsidP="008E4516">
      <w:pPr>
        <w:jc w:val="center"/>
        <w:rPr>
          <w:rFonts w:eastAsia="SimSun"/>
          <w:b/>
          <w:sz w:val="28"/>
          <w:szCs w:val="24"/>
          <w:lang w:val="fr-FR" w:eastAsia="zh-CN"/>
        </w:rPr>
      </w:pPr>
      <w:r>
        <w:rPr>
          <w:rFonts w:eastAsia="SimSun"/>
          <w:b/>
          <w:sz w:val="28"/>
          <w:szCs w:val="24"/>
          <w:lang w:val="fr-FR" w:eastAsia="zh-CN"/>
        </w:rPr>
        <w:t>ORGANISATION INTERNATIONALE DE NORMALISATION</w:t>
      </w:r>
    </w:p>
    <w:p w14:paraId="32C11182" w14:textId="77777777" w:rsidR="008E4516" w:rsidRDefault="008E4516" w:rsidP="008E4516">
      <w:pPr>
        <w:jc w:val="center"/>
        <w:rPr>
          <w:rFonts w:eastAsia="SimSun"/>
          <w:b/>
          <w:sz w:val="28"/>
          <w:szCs w:val="24"/>
          <w:lang w:val="fr-FR" w:eastAsia="zh-CN"/>
        </w:rPr>
      </w:pPr>
      <w:r>
        <w:rPr>
          <w:rFonts w:eastAsia="SimSun"/>
          <w:b/>
          <w:sz w:val="28"/>
          <w:szCs w:val="24"/>
          <w:lang w:val="fr-FR" w:eastAsia="zh-CN"/>
        </w:rPr>
        <w:t>ISO/IEC JTC 1/SC 29/AG 03 MPEG Liaison &amp; Communication</w:t>
      </w:r>
    </w:p>
    <w:p w14:paraId="33C9728E" w14:textId="64A239AE" w:rsidR="008E4516" w:rsidRPr="00DC488B" w:rsidRDefault="008E4516" w:rsidP="008E4516">
      <w:pPr>
        <w:jc w:val="right"/>
        <w:rPr>
          <w:rFonts w:eastAsia="SimSun"/>
          <w:b/>
          <w:sz w:val="48"/>
          <w:szCs w:val="24"/>
          <w:lang w:val="pt-BR" w:eastAsia="zh-CN"/>
        </w:rPr>
      </w:pPr>
      <w:r w:rsidRPr="00DC488B">
        <w:rPr>
          <w:rFonts w:eastAsia="Times New Roman"/>
          <w:b/>
          <w:color w:val="000000"/>
          <w:sz w:val="28"/>
          <w:szCs w:val="28"/>
          <w:lang w:val="pt-BR"/>
        </w:rPr>
        <w:t>ISO/IEC JTC 1/SC 29/</w:t>
      </w:r>
      <w:r>
        <w:rPr>
          <w:rFonts w:eastAsia="Times New Roman"/>
          <w:b/>
          <w:color w:val="000000"/>
          <w:sz w:val="28"/>
          <w:szCs w:val="28"/>
          <w:lang w:val="pt-BR"/>
        </w:rPr>
        <w:t>A</w:t>
      </w:r>
      <w:r w:rsidRPr="00DC488B">
        <w:rPr>
          <w:rFonts w:eastAsia="Times New Roman"/>
          <w:b/>
          <w:color w:val="000000"/>
          <w:sz w:val="28"/>
          <w:szCs w:val="28"/>
          <w:lang w:val="pt-BR"/>
        </w:rPr>
        <w:t xml:space="preserve">G 03 </w:t>
      </w:r>
      <w:r>
        <w:rPr>
          <w:rFonts w:eastAsia="SimSun"/>
          <w:b/>
          <w:sz w:val="48"/>
          <w:szCs w:val="24"/>
          <w:lang w:val="pt-BR" w:eastAsia="zh-CN"/>
        </w:rPr>
        <w:t>N01</w:t>
      </w:r>
      <w:r>
        <w:rPr>
          <w:rFonts w:eastAsia="SimSun"/>
          <w:b/>
          <w:sz w:val="48"/>
          <w:szCs w:val="24"/>
          <w:lang w:val="pt-BR" w:eastAsia="zh-CN"/>
        </w:rPr>
        <w:t>1</w:t>
      </w:r>
      <w:r>
        <w:rPr>
          <w:rFonts w:eastAsia="SimSun"/>
          <w:b/>
          <w:sz w:val="48"/>
          <w:szCs w:val="24"/>
          <w:lang w:val="pt-BR" w:eastAsia="zh-CN"/>
        </w:rPr>
        <w:t>1</w:t>
      </w:r>
    </w:p>
    <w:p w14:paraId="523C929E" w14:textId="788D7B7F" w:rsidR="008E4516" w:rsidRDefault="008E4516" w:rsidP="008E4516">
      <w:pPr>
        <w:jc w:val="right"/>
        <w:rPr>
          <w:rFonts w:eastAsia="Times New Roman"/>
          <w:b/>
          <w:color w:val="000000"/>
          <w:sz w:val="28"/>
          <w:szCs w:val="28"/>
        </w:rPr>
      </w:pPr>
      <w:r>
        <w:rPr>
          <w:rFonts w:eastAsia="Times New Roman"/>
          <w:b/>
          <w:color w:val="000000"/>
          <w:sz w:val="28"/>
          <w:szCs w:val="28"/>
        </w:rPr>
        <w:t>April</w:t>
      </w:r>
      <w:r>
        <w:rPr>
          <w:rFonts w:eastAsia="Times New Roman"/>
          <w:b/>
          <w:color w:val="000000"/>
          <w:sz w:val="28"/>
          <w:szCs w:val="28"/>
        </w:rPr>
        <w:t xml:space="preserve"> 202</w:t>
      </w:r>
      <w:r>
        <w:rPr>
          <w:rFonts w:eastAsia="Times New Roman"/>
          <w:b/>
          <w:color w:val="000000"/>
          <w:sz w:val="28"/>
          <w:szCs w:val="28"/>
        </w:rPr>
        <w:t>3</w:t>
      </w:r>
      <w:r>
        <w:rPr>
          <w:rFonts w:eastAsia="Times New Roman"/>
          <w:b/>
          <w:color w:val="000000"/>
          <w:sz w:val="28"/>
          <w:szCs w:val="28"/>
        </w:rPr>
        <w:t xml:space="preserve">, </w:t>
      </w:r>
      <w:r>
        <w:rPr>
          <w:rFonts w:eastAsia="Times New Roman"/>
          <w:b/>
          <w:color w:val="000000"/>
          <w:sz w:val="28"/>
          <w:szCs w:val="28"/>
        </w:rPr>
        <w:t>Antalya</w:t>
      </w:r>
    </w:p>
    <w:p w14:paraId="78D199DA" w14:textId="77777777" w:rsidR="008E4516" w:rsidRDefault="008E4516" w:rsidP="008E4516">
      <w:pPr>
        <w:jc w:val="right"/>
        <w:rPr>
          <w:rFonts w:eastAsia="Times New Roman"/>
          <w:b/>
          <w:color w:val="000000"/>
          <w:sz w:val="28"/>
          <w:szCs w:val="28"/>
        </w:rPr>
      </w:pPr>
    </w:p>
    <w:tbl>
      <w:tblPr>
        <w:tblW w:w="5000" w:type="pct"/>
        <w:tblLayout w:type="fixed"/>
        <w:tblLook w:val="0000" w:firstRow="0" w:lastRow="0" w:firstColumn="0" w:lastColumn="0" w:noHBand="0" w:noVBand="0"/>
      </w:tblPr>
      <w:tblGrid>
        <w:gridCol w:w="2219"/>
        <w:gridCol w:w="7701"/>
      </w:tblGrid>
      <w:tr w:rsidR="008E4516" w14:paraId="784EA0FA" w14:textId="77777777" w:rsidTr="00244E80">
        <w:trPr>
          <w:trHeight w:val="254"/>
        </w:trPr>
        <w:tc>
          <w:tcPr>
            <w:tcW w:w="2019" w:type="dxa"/>
          </w:tcPr>
          <w:p w14:paraId="1C0833F6" w14:textId="77777777" w:rsidR="008E4516" w:rsidRDefault="008E4516" w:rsidP="00244E80">
            <w:pPr>
              <w:rPr>
                <w:rFonts w:eastAsia="Times New Roman"/>
                <w:b/>
                <w:color w:val="000000"/>
                <w:sz w:val="24"/>
                <w:szCs w:val="24"/>
              </w:rPr>
            </w:pPr>
            <w:r>
              <w:rPr>
                <w:rFonts w:eastAsia="Times New Roman"/>
                <w:b/>
                <w:color w:val="000000"/>
                <w:sz w:val="24"/>
                <w:szCs w:val="24"/>
              </w:rPr>
              <w:t>Title</w:t>
            </w:r>
          </w:p>
        </w:tc>
        <w:tc>
          <w:tcPr>
            <w:tcW w:w="7006" w:type="dxa"/>
          </w:tcPr>
          <w:p w14:paraId="01BE3046" w14:textId="2C800047" w:rsidR="008E4516" w:rsidRDefault="008E4516" w:rsidP="00244E80">
            <w:pPr>
              <w:ind w:left="210"/>
              <w:rPr>
                <w:b/>
                <w:sz w:val="24"/>
                <w:szCs w:val="24"/>
                <w:lang w:val="en-GB"/>
              </w:rPr>
            </w:pPr>
            <w:r>
              <w:rPr>
                <w:b/>
                <w:sz w:val="24"/>
                <w:szCs w:val="24"/>
                <w:lang w:val="en-GB"/>
              </w:rPr>
              <w:t xml:space="preserve">White paper on G-PCC </w:t>
            </w:r>
          </w:p>
        </w:tc>
      </w:tr>
      <w:tr w:rsidR="008E4516" w14:paraId="7F46AA37" w14:textId="77777777" w:rsidTr="00244E80">
        <w:trPr>
          <w:trHeight w:val="254"/>
        </w:trPr>
        <w:tc>
          <w:tcPr>
            <w:tcW w:w="2019" w:type="dxa"/>
          </w:tcPr>
          <w:p w14:paraId="39B3E2C5" w14:textId="3454F623" w:rsidR="008E4516" w:rsidRDefault="008E4516" w:rsidP="00244E80">
            <w:pPr>
              <w:rPr>
                <w:rFonts w:eastAsia="Times New Roman"/>
                <w:b/>
                <w:color w:val="000000"/>
                <w:sz w:val="24"/>
                <w:szCs w:val="24"/>
              </w:rPr>
            </w:pPr>
            <w:r>
              <w:rPr>
                <w:rFonts w:eastAsia="Times New Roman" w:hint="eastAsia"/>
                <w:b/>
                <w:color w:val="000000"/>
                <w:sz w:val="24"/>
                <w:szCs w:val="24"/>
              </w:rPr>
              <w:t>A</w:t>
            </w:r>
            <w:r>
              <w:rPr>
                <w:rFonts w:eastAsia="Times New Roman"/>
                <w:b/>
                <w:color w:val="000000"/>
                <w:sz w:val="24"/>
                <w:szCs w:val="24"/>
              </w:rPr>
              <w:t>uthors</w:t>
            </w:r>
          </w:p>
        </w:tc>
        <w:tc>
          <w:tcPr>
            <w:tcW w:w="7006" w:type="dxa"/>
          </w:tcPr>
          <w:p w14:paraId="450F83F8" w14:textId="5BDB9DC3" w:rsidR="008E4516" w:rsidRDefault="008E4516" w:rsidP="00244E80">
            <w:pPr>
              <w:ind w:left="210"/>
              <w:rPr>
                <w:b/>
                <w:sz w:val="24"/>
                <w:szCs w:val="24"/>
                <w:lang w:val="en-GB"/>
              </w:rPr>
            </w:pPr>
            <w:proofErr w:type="spellStart"/>
            <w:r w:rsidRPr="008E4516">
              <w:rPr>
                <w:b/>
                <w:sz w:val="24"/>
                <w:szCs w:val="24"/>
                <w:lang w:val="en-GB"/>
              </w:rPr>
              <w:t>Ohji</w:t>
            </w:r>
            <w:proofErr w:type="spellEnd"/>
            <w:r w:rsidRPr="008E4516">
              <w:rPr>
                <w:b/>
                <w:sz w:val="24"/>
                <w:szCs w:val="24"/>
                <w:lang w:val="en-GB"/>
              </w:rPr>
              <w:t xml:space="preserve"> </w:t>
            </w:r>
            <w:proofErr w:type="spellStart"/>
            <w:r w:rsidRPr="008E4516">
              <w:rPr>
                <w:b/>
                <w:sz w:val="24"/>
                <w:szCs w:val="24"/>
                <w:lang w:val="en-GB"/>
              </w:rPr>
              <w:t>Nakagami</w:t>
            </w:r>
            <w:proofErr w:type="spellEnd"/>
            <w:r w:rsidRPr="008E4516">
              <w:rPr>
                <w:b/>
                <w:sz w:val="24"/>
                <w:szCs w:val="24"/>
                <w:lang w:val="en-GB"/>
              </w:rPr>
              <w:t xml:space="preserve">, Sebastien </w:t>
            </w:r>
            <w:proofErr w:type="spellStart"/>
            <w:r w:rsidRPr="008E4516">
              <w:rPr>
                <w:b/>
                <w:sz w:val="24"/>
                <w:szCs w:val="24"/>
                <w:lang w:val="en-GB"/>
              </w:rPr>
              <w:t>Lasserre</w:t>
            </w:r>
            <w:proofErr w:type="spellEnd"/>
            <w:r w:rsidRPr="008E4516">
              <w:rPr>
                <w:b/>
                <w:sz w:val="24"/>
                <w:szCs w:val="24"/>
                <w:lang w:val="en-GB"/>
              </w:rPr>
              <w:t xml:space="preserve">, </w:t>
            </w:r>
            <w:proofErr w:type="spellStart"/>
            <w:r w:rsidRPr="008E4516">
              <w:rPr>
                <w:b/>
                <w:sz w:val="24"/>
                <w:szCs w:val="24"/>
                <w:lang w:val="en-GB"/>
              </w:rPr>
              <w:t>Sugio</w:t>
            </w:r>
            <w:proofErr w:type="spellEnd"/>
            <w:r w:rsidRPr="008E4516">
              <w:rPr>
                <w:b/>
                <w:sz w:val="24"/>
                <w:szCs w:val="24"/>
                <w:lang w:val="en-GB"/>
              </w:rPr>
              <w:t xml:space="preserve"> </w:t>
            </w:r>
            <w:proofErr w:type="spellStart"/>
            <w:r w:rsidRPr="008E4516">
              <w:rPr>
                <w:b/>
                <w:sz w:val="24"/>
                <w:szCs w:val="24"/>
                <w:lang w:val="en-GB"/>
              </w:rPr>
              <w:t>Toshiyasu</w:t>
            </w:r>
            <w:proofErr w:type="spellEnd"/>
            <w:r w:rsidRPr="008E4516">
              <w:rPr>
                <w:b/>
                <w:sz w:val="24"/>
                <w:szCs w:val="24"/>
                <w:lang w:val="en-GB"/>
              </w:rPr>
              <w:t xml:space="preserve">, Marius </w:t>
            </w:r>
            <w:proofErr w:type="spellStart"/>
            <w:r w:rsidRPr="008E4516">
              <w:rPr>
                <w:b/>
                <w:sz w:val="24"/>
                <w:szCs w:val="24"/>
                <w:lang w:val="en-GB"/>
              </w:rPr>
              <w:t>Preda</w:t>
            </w:r>
            <w:proofErr w:type="spellEnd"/>
          </w:p>
        </w:tc>
      </w:tr>
      <w:tr w:rsidR="008E4516" w14:paraId="236268B5" w14:textId="77777777" w:rsidTr="00244E80">
        <w:trPr>
          <w:trHeight w:val="254"/>
        </w:trPr>
        <w:tc>
          <w:tcPr>
            <w:tcW w:w="2019" w:type="dxa"/>
          </w:tcPr>
          <w:p w14:paraId="7B8295D3" w14:textId="77777777" w:rsidR="008E4516" w:rsidRDefault="008E4516" w:rsidP="00244E80">
            <w:pPr>
              <w:rPr>
                <w:rFonts w:eastAsia="Times New Roman"/>
                <w:b/>
                <w:color w:val="000000"/>
                <w:sz w:val="24"/>
                <w:szCs w:val="24"/>
              </w:rPr>
            </w:pPr>
            <w:r>
              <w:rPr>
                <w:rFonts w:eastAsia="Times New Roman"/>
                <w:b/>
                <w:color w:val="000000"/>
                <w:sz w:val="24"/>
                <w:szCs w:val="24"/>
              </w:rPr>
              <w:t>Source</w:t>
            </w:r>
          </w:p>
        </w:tc>
        <w:tc>
          <w:tcPr>
            <w:tcW w:w="7006" w:type="dxa"/>
          </w:tcPr>
          <w:p w14:paraId="5BBAABEC" w14:textId="77777777" w:rsidR="008E4516" w:rsidRDefault="008E4516" w:rsidP="00244E80">
            <w:pPr>
              <w:rPr>
                <w:rFonts w:eastAsia="Times New Roman"/>
                <w:b/>
                <w:color w:val="000000"/>
                <w:sz w:val="24"/>
                <w:szCs w:val="24"/>
              </w:rPr>
            </w:pPr>
            <w:r>
              <w:rPr>
                <w:rFonts w:eastAsia="Times New Roman"/>
                <w:b/>
                <w:color w:val="000000"/>
                <w:sz w:val="24"/>
                <w:szCs w:val="24"/>
              </w:rPr>
              <w:t>AG 03, MPEG Liaison and Communication</w:t>
            </w:r>
          </w:p>
        </w:tc>
      </w:tr>
      <w:tr w:rsidR="008E4516" w14:paraId="3808958B" w14:textId="77777777" w:rsidTr="00244E80">
        <w:trPr>
          <w:trHeight w:val="256"/>
        </w:trPr>
        <w:tc>
          <w:tcPr>
            <w:tcW w:w="2019" w:type="dxa"/>
          </w:tcPr>
          <w:p w14:paraId="1157B7C8" w14:textId="77777777" w:rsidR="008E4516" w:rsidRDefault="008E4516" w:rsidP="00244E80">
            <w:pPr>
              <w:rPr>
                <w:rFonts w:eastAsia="Times New Roman"/>
                <w:b/>
                <w:color w:val="000000"/>
                <w:sz w:val="24"/>
                <w:szCs w:val="24"/>
              </w:rPr>
            </w:pPr>
            <w:r>
              <w:rPr>
                <w:rFonts w:eastAsia="Times New Roman"/>
                <w:b/>
                <w:color w:val="000000"/>
                <w:sz w:val="24"/>
                <w:szCs w:val="24"/>
              </w:rPr>
              <w:t>Status</w:t>
            </w:r>
          </w:p>
        </w:tc>
        <w:tc>
          <w:tcPr>
            <w:tcW w:w="7006" w:type="dxa"/>
          </w:tcPr>
          <w:p w14:paraId="6D3226D4" w14:textId="1AE3EF18" w:rsidR="008E4516" w:rsidRDefault="008E4516" w:rsidP="00244E80">
            <w:pPr>
              <w:rPr>
                <w:rFonts w:eastAsia="Times New Roman"/>
                <w:b/>
                <w:color w:val="000000"/>
                <w:sz w:val="24"/>
                <w:szCs w:val="24"/>
              </w:rPr>
            </w:pPr>
            <w:r>
              <w:rPr>
                <w:rFonts w:eastAsia="Times New Roman"/>
                <w:b/>
                <w:color w:val="000000"/>
                <w:sz w:val="24"/>
                <w:szCs w:val="24"/>
              </w:rPr>
              <w:t>Approved</w:t>
            </w:r>
          </w:p>
        </w:tc>
      </w:tr>
      <w:tr w:rsidR="008E4516" w14:paraId="5B4E65C2" w14:textId="77777777" w:rsidTr="00244E80">
        <w:trPr>
          <w:trHeight w:val="254"/>
        </w:trPr>
        <w:tc>
          <w:tcPr>
            <w:tcW w:w="2019" w:type="dxa"/>
          </w:tcPr>
          <w:p w14:paraId="3C5DB928" w14:textId="77777777" w:rsidR="008E4516" w:rsidRDefault="008E4516" w:rsidP="00244E80">
            <w:pPr>
              <w:rPr>
                <w:rFonts w:eastAsia="Times New Roman"/>
                <w:b/>
                <w:color w:val="000000"/>
                <w:sz w:val="24"/>
                <w:szCs w:val="24"/>
              </w:rPr>
            </w:pPr>
            <w:r>
              <w:rPr>
                <w:rFonts w:eastAsia="Times New Roman"/>
                <w:b/>
                <w:color w:val="000000"/>
                <w:sz w:val="24"/>
                <w:szCs w:val="24"/>
              </w:rPr>
              <w:t>Serial Number</w:t>
            </w:r>
          </w:p>
        </w:tc>
        <w:tc>
          <w:tcPr>
            <w:tcW w:w="7006" w:type="dxa"/>
          </w:tcPr>
          <w:p w14:paraId="72950E31" w14:textId="6BD752CC" w:rsidR="008E4516" w:rsidRDefault="008E4516" w:rsidP="00244E80">
            <w:pPr>
              <w:rPr>
                <w:rFonts w:eastAsia="Times New Roman"/>
                <w:b/>
                <w:color w:val="000000"/>
                <w:sz w:val="24"/>
                <w:szCs w:val="24"/>
              </w:rPr>
            </w:pPr>
            <w:r>
              <w:rPr>
                <w:rFonts w:eastAsia="Times New Roman"/>
                <w:b/>
                <w:color w:val="000000"/>
                <w:sz w:val="24"/>
                <w:szCs w:val="24"/>
              </w:rPr>
              <w:t>22</w:t>
            </w:r>
            <w:r>
              <w:rPr>
                <w:rFonts w:eastAsia="Times New Roman"/>
                <w:b/>
                <w:color w:val="000000"/>
                <w:sz w:val="24"/>
                <w:szCs w:val="24"/>
              </w:rPr>
              <w:t>804</w:t>
            </w:r>
          </w:p>
        </w:tc>
      </w:tr>
    </w:tbl>
    <w:p w14:paraId="48A34CEE" w14:textId="77777777" w:rsidR="00FA6C90" w:rsidRPr="003F2019" w:rsidRDefault="00FA6C90" w:rsidP="00FA6C90">
      <w:pPr>
        <w:jc w:val="right"/>
        <w:rPr>
          <w:b/>
          <w:lang w:eastAsia="ja-JP"/>
        </w:rPr>
      </w:pPr>
    </w:p>
    <w:p w14:paraId="1163C96A" w14:textId="77777777" w:rsidR="002115AC" w:rsidRPr="003F2019" w:rsidRDefault="002115AC" w:rsidP="00FB55AC">
      <w:pPr>
        <w:rPr>
          <w:rFonts w:cs="Times New Roman"/>
        </w:rPr>
      </w:pPr>
    </w:p>
    <w:p w14:paraId="68DD067E" w14:textId="77777777" w:rsidR="00C73B70" w:rsidRPr="003F2019" w:rsidRDefault="00C73B70" w:rsidP="00C73B70">
      <w:pPr>
        <w:widowControl/>
        <w:autoSpaceDE/>
        <w:autoSpaceDN/>
        <w:spacing w:before="120" w:after="120"/>
        <w:jc w:val="both"/>
        <w:rPr>
          <w:rFonts w:eastAsia="맑은 고딕" w:cs="Times New Roman"/>
          <w:b/>
          <w:bCs/>
          <w:sz w:val="32"/>
          <w:szCs w:val="32"/>
          <w:lang w:eastAsia="ko-KR"/>
        </w:rPr>
      </w:pPr>
      <w:r w:rsidRPr="003F2019">
        <w:rPr>
          <w:rFonts w:eastAsia="맑은 고딕" w:cs="Times New Roman"/>
          <w:b/>
          <w:bCs/>
          <w:sz w:val="32"/>
          <w:szCs w:val="32"/>
          <w:lang w:eastAsia="ko-KR"/>
        </w:rPr>
        <w:t>Abstract</w:t>
      </w:r>
    </w:p>
    <w:p w14:paraId="024F0ACF" w14:textId="77777777" w:rsidR="00C73B70" w:rsidRPr="003F2019" w:rsidRDefault="00C73B70" w:rsidP="00C73B70">
      <w:pPr>
        <w:widowControl/>
        <w:autoSpaceDE/>
        <w:autoSpaceDN/>
        <w:spacing w:before="120" w:after="120"/>
        <w:jc w:val="both"/>
        <w:rPr>
          <w:rFonts w:eastAsia="맑은 고딕" w:cs="Times New Roman"/>
          <w:sz w:val="24"/>
          <w:szCs w:val="24"/>
          <w:lang w:eastAsia="ko-KR"/>
        </w:rPr>
      </w:pPr>
      <w:r w:rsidRPr="003F2019">
        <w:rPr>
          <w:rFonts w:eastAsia="맑은 고딕" w:cs="Times New Roman"/>
          <w:sz w:val="24"/>
          <w:szCs w:val="24"/>
          <w:lang w:eastAsia="ko-KR"/>
        </w:rPr>
        <w:t xml:space="preserve">The </w:t>
      </w:r>
      <w:proofErr w:type="gramStart"/>
      <w:r w:rsidRPr="003F2019">
        <w:rPr>
          <w:rFonts w:eastAsia="맑은 고딕" w:cs="Times New Roman"/>
          <w:sz w:val="24"/>
          <w:szCs w:val="24"/>
          <w:lang w:eastAsia="ko-KR"/>
        </w:rPr>
        <w:t>Geometry</w:t>
      </w:r>
      <w:proofErr w:type="gramEnd"/>
      <w:r w:rsidRPr="003F2019">
        <w:rPr>
          <w:rFonts w:eastAsia="맑은 고딕" w:cs="Times New Roman"/>
          <w:sz w:val="24"/>
          <w:szCs w:val="24"/>
          <w:lang w:eastAsia="ko-KR"/>
        </w:rPr>
        <w:t>-based Point Cloud Compression (G-PCC) standard, standardized in ISO/IEC as International Standard 23090-9, is the most recent international point cloud coding standard.</w:t>
      </w:r>
    </w:p>
    <w:p w14:paraId="2D5E646B" w14:textId="77777777" w:rsidR="00C73B70" w:rsidRPr="003F2019" w:rsidRDefault="00C73B70" w:rsidP="00C73B70">
      <w:pPr>
        <w:widowControl/>
        <w:autoSpaceDE/>
        <w:autoSpaceDN/>
        <w:spacing w:before="120" w:after="120"/>
        <w:jc w:val="both"/>
        <w:rPr>
          <w:rFonts w:eastAsia="맑은 고딕" w:cs="Times New Roman"/>
          <w:sz w:val="24"/>
          <w:szCs w:val="24"/>
          <w:lang w:eastAsia="ko-KR"/>
        </w:rPr>
      </w:pPr>
      <w:r w:rsidRPr="003F2019">
        <w:rPr>
          <w:rFonts w:eastAsia="맑은 고딕" w:cs="Times New Roman"/>
          <w:sz w:val="24"/>
          <w:szCs w:val="24"/>
          <w:lang w:eastAsia="ko-KR"/>
        </w:rPr>
        <w:t>This white paper provides an overview of the ISO/IEC 23090-9 Information technology — Coded representation of immersive media — Part 9: Geometry-based Point Cloud Compression (G-PCC) standard. The G-PCC standard provides a general framework for compressing different types of point clouds and can be handled by G-PCC profiles.</w:t>
      </w:r>
    </w:p>
    <w:p w14:paraId="193F1FB6" w14:textId="77777777" w:rsidR="00C73B70" w:rsidRPr="003F2019" w:rsidRDefault="00C73B70" w:rsidP="00C73B70">
      <w:pPr>
        <w:widowControl/>
        <w:autoSpaceDE/>
        <w:autoSpaceDN/>
        <w:spacing w:before="120" w:after="120"/>
        <w:jc w:val="both"/>
        <w:rPr>
          <w:rFonts w:eastAsia="맑은 고딕" w:cs="Times New Roman"/>
          <w:sz w:val="24"/>
          <w:szCs w:val="24"/>
          <w:lang w:eastAsia="ko-KR"/>
        </w:rPr>
      </w:pPr>
    </w:p>
    <w:p w14:paraId="25B0547F" w14:textId="77777777" w:rsidR="00C73B70" w:rsidRPr="003F2019" w:rsidRDefault="00C73B70" w:rsidP="00C73B70">
      <w:pPr>
        <w:widowControl/>
        <w:autoSpaceDE/>
        <w:autoSpaceDN/>
        <w:spacing w:before="120" w:after="120"/>
        <w:jc w:val="both"/>
        <w:rPr>
          <w:rFonts w:eastAsia="맑은 고딕" w:cs="Times New Roman"/>
          <w:b/>
          <w:bCs/>
          <w:sz w:val="32"/>
          <w:szCs w:val="32"/>
          <w:lang w:eastAsia="ko-KR"/>
        </w:rPr>
      </w:pPr>
      <w:r w:rsidRPr="003F2019">
        <w:rPr>
          <w:rFonts w:eastAsia="맑은 고딕" w:cs="Times New Roman"/>
          <w:b/>
          <w:bCs/>
          <w:sz w:val="32"/>
          <w:szCs w:val="32"/>
          <w:lang w:eastAsia="ko-KR"/>
        </w:rPr>
        <w:t>Introduction to the G-PCC standard</w:t>
      </w:r>
    </w:p>
    <w:p w14:paraId="78A65BA2" w14:textId="77777777" w:rsidR="00C73B70" w:rsidRPr="003F2019" w:rsidRDefault="00C73B70" w:rsidP="00C73B70">
      <w:pPr>
        <w:pStyle w:val="Abstract"/>
        <w:spacing w:line="276" w:lineRule="auto"/>
        <w:rPr>
          <w:rFonts w:ascii="Times New Roman" w:hAnsi="Times New Roman" w:cs="Times New Roman"/>
          <w:sz w:val="24"/>
          <w:szCs w:val="24"/>
        </w:rPr>
      </w:pPr>
      <w:r w:rsidRPr="003F2019">
        <w:rPr>
          <w:rFonts w:ascii="Times New Roman" w:hAnsi="Times New Roman" w:cs="Times New Roman"/>
          <w:sz w:val="24"/>
          <w:szCs w:val="24"/>
        </w:rPr>
        <w:t xml:space="preserve">The MPEG committee (ISO/IEC JTC 1/SC 29/WG 7) is developing the MPEG-I standard for encoding, encapsulation, and delivery of immersive media. Part 9 of this standard, </w:t>
      </w:r>
      <w:r w:rsidRPr="003F2019">
        <w:rPr>
          <w:rFonts w:ascii="Times New Roman" w:eastAsia="맑은 고딕" w:hAnsi="Times New Roman" w:cs="Times New Roman"/>
          <w:sz w:val="24"/>
          <w:szCs w:val="24"/>
          <w:lang w:eastAsia="ko-KR"/>
        </w:rPr>
        <w:t>Geometry-based Point Cloud Compression</w:t>
      </w:r>
      <w:r w:rsidRPr="003F2019">
        <w:rPr>
          <w:rFonts w:ascii="Times New Roman" w:hAnsi="Times New Roman" w:cs="Times New Roman"/>
          <w:sz w:val="24"/>
          <w:szCs w:val="24"/>
        </w:rPr>
        <w:t xml:space="preserve"> (G-PCC), provides a standard for coded representation of the point cloud media.</w:t>
      </w:r>
    </w:p>
    <w:p w14:paraId="21164B57" w14:textId="77777777" w:rsidR="00C73B70" w:rsidRPr="003F2019" w:rsidRDefault="00C73B70" w:rsidP="00C73B70">
      <w:pPr>
        <w:spacing w:after="120" w:line="276" w:lineRule="auto"/>
        <w:jc w:val="both"/>
        <w:rPr>
          <w:rFonts w:cs="Times New Roman"/>
          <w:sz w:val="24"/>
          <w:szCs w:val="24"/>
        </w:rPr>
      </w:pPr>
      <w:r w:rsidRPr="003F2019">
        <w:rPr>
          <w:rFonts w:cs="Times New Roman"/>
          <w:sz w:val="24"/>
          <w:szCs w:val="24"/>
        </w:rPr>
        <w:t xml:space="preserve">Point cloud may be created in various manners. Recently, 3D sensors such as Light Detection </w:t>
      </w:r>
      <w:proofErr w:type="gramStart"/>
      <w:r w:rsidRPr="003F2019">
        <w:rPr>
          <w:rFonts w:cs="Times New Roman"/>
          <w:sz w:val="24"/>
          <w:szCs w:val="24"/>
        </w:rPr>
        <w:t>And</w:t>
      </w:r>
      <w:proofErr w:type="gramEnd"/>
      <w:r w:rsidRPr="003F2019">
        <w:rPr>
          <w:rFonts w:cs="Times New Roman"/>
          <w:sz w:val="24"/>
          <w:szCs w:val="24"/>
        </w:rPr>
        <w:t xml:space="preserve"> Ranging (LiDAR) or Time of Flight (</w:t>
      </w:r>
      <w:proofErr w:type="spellStart"/>
      <w:r w:rsidRPr="003F2019">
        <w:rPr>
          <w:rFonts w:cs="Times New Roman"/>
          <w:sz w:val="24"/>
          <w:szCs w:val="24"/>
        </w:rPr>
        <w:t>ToF</w:t>
      </w:r>
      <w:proofErr w:type="spellEnd"/>
      <w:r w:rsidRPr="003F2019">
        <w:rPr>
          <w:rFonts w:cs="Times New Roman"/>
          <w:sz w:val="24"/>
          <w:szCs w:val="24"/>
        </w:rPr>
        <w:t>) devices are widely used to scan dynamic 3D scenes.</w:t>
      </w:r>
    </w:p>
    <w:p w14:paraId="6F551B40" w14:textId="77777777" w:rsidR="00C73B70" w:rsidRPr="003F2019" w:rsidRDefault="00C73B70" w:rsidP="00C73B70">
      <w:pPr>
        <w:spacing w:after="120" w:line="276" w:lineRule="auto"/>
        <w:jc w:val="both"/>
        <w:rPr>
          <w:rFonts w:cs="Times New Roman"/>
          <w:sz w:val="24"/>
          <w:szCs w:val="24"/>
        </w:rPr>
      </w:pPr>
      <w:r w:rsidRPr="003F2019">
        <w:rPr>
          <w:rFonts w:cs="Times New Roman"/>
          <w:sz w:val="24"/>
          <w:szCs w:val="24"/>
        </w:rPr>
        <w:t>To precisely describe 3D objects or real-world scenes, point clouds come with a large set of points in 3D space with geometry information and attribute information. The geometry information represents the 3D coordinates of each point in the point cloud; the attribute information describes the characteristics (e.g., color and reflectance) of each point. Point cloud requires a large amount of data, bringing huge challenges to data storage and transmission.</w:t>
      </w:r>
    </w:p>
    <w:p w14:paraId="2F034D81" w14:textId="468DDDB9" w:rsidR="00C73B70" w:rsidRPr="003F2019" w:rsidRDefault="00C73B70" w:rsidP="00C73B70">
      <w:pPr>
        <w:spacing w:after="120" w:line="276" w:lineRule="auto"/>
        <w:jc w:val="both"/>
        <w:rPr>
          <w:rFonts w:cs="Times New Roman"/>
          <w:sz w:val="24"/>
          <w:szCs w:val="24"/>
        </w:rPr>
      </w:pPr>
      <w:r w:rsidRPr="003F2019">
        <w:rPr>
          <w:rFonts w:cs="Times New Roman"/>
          <w:sz w:val="24"/>
          <w:szCs w:val="24"/>
        </w:rPr>
        <w:t>MPEG 3D Graphics Coding group (3DG) announced the Call for Proposal on point cloud compression in January 2017</w:t>
      </w:r>
      <w:r w:rsidRPr="003F2019">
        <w:rPr>
          <w:rFonts w:cs="Times New Roman"/>
          <w:sz w:val="24"/>
          <w:szCs w:val="24"/>
        </w:rPr>
        <w:fldChar w:fldCharType="begin"/>
      </w:r>
      <w:r w:rsidRPr="003F2019">
        <w:rPr>
          <w:rFonts w:cs="Times New Roman"/>
          <w:sz w:val="24"/>
          <w:szCs w:val="24"/>
        </w:rPr>
        <w:instrText xml:space="preserve"> REF _Ref124359985 \n \h  \* MERGEFORMAT </w:instrText>
      </w:r>
      <w:r w:rsidRPr="003F2019">
        <w:rPr>
          <w:rFonts w:cs="Times New Roman"/>
          <w:sz w:val="24"/>
          <w:szCs w:val="24"/>
        </w:rPr>
      </w:r>
      <w:r w:rsidRPr="003F2019">
        <w:rPr>
          <w:rFonts w:cs="Times New Roman"/>
          <w:sz w:val="24"/>
          <w:szCs w:val="24"/>
        </w:rPr>
        <w:fldChar w:fldCharType="separate"/>
      </w:r>
      <w:r w:rsidRPr="003F2019">
        <w:rPr>
          <w:rFonts w:cs="Times New Roman"/>
          <w:sz w:val="24"/>
          <w:szCs w:val="24"/>
        </w:rPr>
        <w:t>[1]</w:t>
      </w:r>
      <w:r w:rsidRPr="003F2019">
        <w:rPr>
          <w:rFonts w:cs="Times New Roman"/>
          <w:sz w:val="24"/>
          <w:szCs w:val="24"/>
        </w:rPr>
        <w:fldChar w:fldCharType="end"/>
      </w:r>
      <w:r w:rsidRPr="003F2019">
        <w:rPr>
          <w:rFonts w:cs="Times New Roman"/>
          <w:sz w:val="24"/>
          <w:szCs w:val="24"/>
        </w:rPr>
        <w:t xml:space="preserve">. This project targets delivering efficient compression technologies for different types of point clouds that are acquired with different methods. </w:t>
      </w:r>
    </w:p>
    <w:p w14:paraId="2CC10D08" w14:textId="4B7FDEF8" w:rsidR="00C73B70" w:rsidRPr="003F2019" w:rsidRDefault="00C73B70" w:rsidP="00C73B70">
      <w:pPr>
        <w:spacing w:after="120" w:line="276" w:lineRule="auto"/>
        <w:jc w:val="both"/>
        <w:rPr>
          <w:rFonts w:cs="Times New Roman"/>
          <w:sz w:val="24"/>
          <w:szCs w:val="24"/>
        </w:rPr>
      </w:pPr>
      <w:r w:rsidRPr="003F2019">
        <w:rPr>
          <w:rFonts w:cs="Times New Roman"/>
          <w:sz w:val="24"/>
          <w:szCs w:val="24"/>
        </w:rPr>
        <w:t xml:space="preserve">According to the contributions from industry and academia, the standardization activities progressed to two distinct technical solutions: V-PCC (ISO/IEC 23090 Part 5) which is suitable for coding dense content; and G-PCC (ISO/IEC 23090 Part 9) which is efficient for relatively sparse data. A detailed history of the early standard development process can be found in </w:t>
      </w:r>
      <w:r w:rsidRPr="003F2019">
        <w:rPr>
          <w:rFonts w:cs="Times New Roman"/>
          <w:sz w:val="24"/>
          <w:szCs w:val="24"/>
        </w:rPr>
        <w:fldChar w:fldCharType="begin"/>
      </w:r>
      <w:r w:rsidRPr="003F2019">
        <w:rPr>
          <w:rFonts w:cs="Times New Roman"/>
          <w:sz w:val="24"/>
          <w:szCs w:val="24"/>
        </w:rPr>
        <w:instrText xml:space="preserve"> REF _Ref124360007 \n \h  \* MERGEFORMAT </w:instrText>
      </w:r>
      <w:r w:rsidRPr="003F2019">
        <w:rPr>
          <w:rFonts w:cs="Times New Roman"/>
          <w:sz w:val="24"/>
          <w:szCs w:val="24"/>
        </w:rPr>
      </w:r>
      <w:r w:rsidRPr="003F2019">
        <w:rPr>
          <w:rFonts w:cs="Times New Roman"/>
          <w:sz w:val="24"/>
          <w:szCs w:val="24"/>
        </w:rPr>
        <w:fldChar w:fldCharType="separate"/>
      </w:r>
      <w:r w:rsidRPr="003F2019">
        <w:rPr>
          <w:rFonts w:cs="Times New Roman"/>
          <w:sz w:val="24"/>
          <w:szCs w:val="24"/>
        </w:rPr>
        <w:t>[2]</w:t>
      </w:r>
      <w:r w:rsidRPr="003F2019">
        <w:rPr>
          <w:rFonts w:cs="Times New Roman"/>
          <w:sz w:val="24"/>
          <w:szCs w:val="24"/>
        </w:rPr>
        <w:fldChar w:fldCharType="end"/>
      </w:r>
      <w:r w:rsidRPr="003F2019">
        <w:rPr>
          <w:rFonts w:cs="Times New Roman"/>
          <w:sz w:val="24"/>
          <w:szCs w:val="24"/>
        </w:rPr>
        <w:t>.</w:t>
      </w:r>
    </w:p>
    <w:p w14:paraId="051DA41B" w14:textId="77777777" w:rsidR="00C73B70" w:rsidRPr="003F2019" w:rsidRDefault="00C73B70" w:rsidP="00C73B70">
      <w:pPr>
        <w:widowControl/>
        <w:autoSpaceDE/>
        <w:autoSpaceDN/>
        <w:spacing w:before="120" w:after="120"/>
        <w:jc w:val="both"/>
        <w:rPr>
          <w:rFonts w:eastAsia="맑은 고딕" w:cs="Times New Roman"/>
          <w:sz w:val="24"/>
          <w:szCs w:val="24"/>
          <w:lang w:eastAsia="ko-KR"/>
        </w:rPr>
      </w:pPr>
    </w:p>
    <w:p w14:paraId="5D2D5C20" w14:textId="77777777" w:rsidR="00C73B70" w:rsidRPr="003F2019" w:rsidRDefault="00C73B70" w:rsidP="00C73B70">
      <w:pPr>
        <w:widowControl/>
        <w:autoSpaceDE/>
        <w:autoSpaceDN/>
        <w:spacing w:before="120" w:after="120"/>
        <w:jc w:val="both"/>
        <w:rPr>
          <w:rFonts w:eastAsia="맑은 고딕" w:cs="Times New Roman"/>
          <w:b/>
          <w:bCs/>
          <w:sz w:val="32"/>
          <w:szCs w:val="32"/>
          <w:lang w:eastAsia="ko-KR"/>
        </w:rPr>
      </w:pPr>
      <w:r w:rsidRPr="003F2019">
        <w:rPr>
          <w:rFonts w:eastAsia="맑은 고딕" w:cs="Times New Roman"/>
          <w:b/>
          <w:bCs/>
          <w:sz w:val="32"/>
          <w:szCs w:val="32"/>
          <w:lang w:eastAsia="ko-KR"/>
        </w:rPr>
        <w:t>G-PCC CODING DESIGN</w:t>
      </w:r>
    </w:p>
    <w:p w14:paraId="303419EF" w14:textId="77777777" w:rsidR="00C73B70" w:rsidRPr="003F2019" w:rsidRDefault="00C73B70" w:rsidP="00C73B70">
      <w:pPr>
        <w:jc w:val="both"/>
        <w:rPr>
          <w:rFonts w:cs="Times New Roman"/>
        </w:rPr>
      </w:pPr>
      <w:r w:rsidRPr="003F2019">
        <w:rPr>
          <w:rFonts w:eastAsiaTheme="minorEastAsia" w:cs="Times New Roman"/>
          <w:sz w:val="24"/>
          <w:szCs w:val="24"/>
          <w:lang w:eastAsia="ja-JP"/>
        </w:rPr>
        <w:t xml:space="preserve">G-PCC standard provides a general compression framework for different kinds of point cloud </w:t>
      </w:r>
      <w:r w:rsidRPr="003F2019">
        <w:rPr>
          <w:rFonts w:cs="Times New Roman"/>
          <w:sz w:val="24"/>
          <w:szCs w:val="24"/>
        </w:rPr>
        <w:t xml:space="preserve">as the examples shown in </w:t>
      </w:r>
      <w:r w:rsidRPr="003F2019">
        <w:rPr>
          <w:rFonts w:cs="Times New Roman"/>
          <w:sz w:val="24"/>
          <w:szCs w:val="24"/>
        </w:rPr>
        <w:fldChar w:fldCharType="begin"/>
      </w:r>
      <w:r w:rsidRPr="003F2019">
        <w:rPr>
          <w:rFonts w:cs="Times New Roman"/>
          <w:sz w:val="24"/>
          <w:szCs w:val="24"/>
        </w:rPr>
        <w:instrText xml:space="preserve"> REF _Ref124194213 \h </w:instrText>
      </w:r>
      <w:r w:rsidRPr="003F2019">
        <w:rPr>
          <w:rFonts w:cs="Times New Roman"/>
          <w:sz w:val="24"/>
          <w:szCs w:val="24"/>
        </w:rPr>
      </w:r>
      <w:r w:rsidRPr="003F2019">
        <w:rPr>
          <w:rFonts w:cs="Times New Roman"/>
          <w:sz w:val="24"/>
          <w:szCs w:val="24"/>
        </w:rPr>
        <w:fldChar w:fldCharType="separate"/>
      </w:r>
      <w:r w:rsidRPr="003F2019">
        <w:t>Figure 1</w:t>
      </w:r>
      <w:r w:rsidRPr="003F2019">
        <w:rPr>
          <w:rFonts w:cs="Times New Roman"/>
          <w:sz w:val="24"/>
          <w:szCs w:val="24"/>
        </w:rPr>
        <w:fldChar w:fldCharType="end"/>
      </w:r>
      <w:r w:rsidRPr="003F2019">
        <w:rPr>
          <w:rFonts w:cs="Times New Roman"/>
          <w:sz w:val="24"/>
          <w:szCs w:val="24"/>
        </w:rPr>
        <w:t xml:space="preserve">. </w:t>
      </w:r>
    </w:p>
    <w:p w14:paraId="59D3A54A" w14:textId="77777777" w:rsidR="00C73B70" w:rsidRPr="003F2019" w:rsidRDefault="00C73B70" w:rsidP="00C73B70">
      <w:pPr>
        <w:rPr>
          <w:rFonts w:cs="Times New Roman"/>
        </w:rPr>
      </w:pPr>
    </w:p>
    <w:p w14:paraId="2778DBF4" w14:textId="77777777" w:rsidR="00C73B70" w:rsidRPr="003F2019" w:rsidRDefault="00C73B70" w:rsidP="00C73B70">
      <w:pPr>
        <w:keepNext/>
        <w:widowControl/>
        <w:autoSpaceDE/>
        <w:autoSpaceDN/>
        <w:spacing w:before="120" w:after="120"/>
        <w:jc w:val="both"/>
      </w:pPr>
      <w:r w:rsidRPr="003F2019">
        <w:rPr>
          <w:noProof/>
        </w:rPr>
        <w:lastRenderedPageBreak/>
        <w:drawing>
          <wp:inline distT="0" distB="0" distL="0" distR="0" wp14:anchorId="2EB34A1A" wp14:editId="2F2EA58E">
            <wp:extent cx="5727700" cy="2331085"/>
            <wp:effectExtent l="0" t="0" r="6350" b="0"/>
            <wp:docPr id="917" name="図 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27700" cy="2331085"/>
                    </a:xfrm>
                    <a:prstGeom prst="rect">
                      <a:avLst/>
                    </a:prstGeom>
                  </pic:spPr>
                </pic:pic>
              </a:graphicData>
            </a:graphic>
          </wp:inline>
        </w:drawing>
      </w:r>
    </w:p>
    <w:p w14:paraId="629AF1D6" w14:textId="77777777" w:rsidR="00C73B70" w:rsidRPr="003F2019" w:rsidRDefault="00C73B70" w:rsidP="00C73B70">
      <w:pPr>
        <w:pStyle w:val="ad"/>
        <w:jc w:val="center"/>
      </w:pPr>
      <w:bookmarkStart w:id="0" w:name="_Ref124194213"/>
      <w:r w:rsidRPr="003F2019">
        <w:t xml:space="preserve">Figure </w:t>
      </w:r>
      <w:fldSimple w:instr=" SEQ Figure \* ARABIC ">
        <w:r w:rsidRPr="003F2019">
          <w:t>1</w:t>
        </w:r>
      </w:fldSimple>
      <w:bookmarkEnd w:id="0"/>
      <w:r w:rsidRPr="003F2019">
        <w:t xml:space="preserve"> Samples from the MPEG PCC dataset. (a) </w:t>
      </w:r>
      <w:proofErr w:type="spellStart"/>
      <w:r w:rsidRPr="003F2019">
        <w:t>Longdress</w:t>
      </w:r>
      <w:proofErr w:type="spellEnd"/>
      <w:r w:rsidRPr="003F2019">
        <w:t xml:space="preserve">, (b) Egyptian mask, (c) Arco Valentino Dense, (d) Facade, (e) Ford, (f) Soldier, (g) Shiva, (h) </w:t>
      </w:r>
      <w:proofErr w:type="spellStart"/>
      <w:r w:rsidRPr="003F2019">
        <w:t>Standford</w:t>
      </w:r>
      <w:proofErr w:type="spellEnd"/>
      <w:r w:rsidRPr="003F2019">
        <w:t xml:space="preserve"> and (</w:t>
      </w:r>
      <w:proofErr w:type="spellStart"/>
      <w:r w:rsidRPr="003F2019">
        <w:t>i</w:t>
      </w:r>
      <w:proofErr w:type="spellEnd"/>
      <w:r w:rsidRPr="003F2019">
        <w:t xml:space="preserve">) </w:t>
      </w:r>
      <w:proofErr w:type="spellStart"/>
      <w:r w:rsidRPr="003F2019">
        <w:t>Citytunnel</w:t>
      </w:r>
      <w:proofErr w:type="spellEnd"/>
      <w:r w:rsidRPr="003F2019">
        <w:t>.</w:t>
      </w:r>
    </w:p>
    <w:p w14:paraId="6D3C828B" w14:textId="77777777" w:rsidR="00C73B70" w:rsidRPr="003F2019" w:rsidRDefault="00C73B70" w:rsidP="00C73B70">
      <w:pPr>
        <w:rPr>
          <w:rFonts w:cs="Times New Roman"/>
          <w:sz w:val="24"/>
          <w:szCs w:val="24"/>
        </w:rPr>
      </w:pPr>
      <w:r w:rsidRPr="003F2019">
        <w:rPr>
          <w:rFonts w:cs="Times New Roman"/>
          <w:sz w:val="24"/>
          <w:szCs w:val="24"/>
        </w:rPr>
        <w:t xml:space="preserve">G-PCC encodes the geometry and attribute information of a point cloud separately. The geometry information is coded first while the attribute compression depends on the reconstructed geometry. The codec architectures of the encoder and decoder are illustrated in </w:t>
      </w:r>
      <w:r w:rsidRPr="003F2019">
        <w:rPr>
          <w:rFonts w:cs="Times New Roman"/>
          <w:sz w:val="24"/>
          <w:szCs w:val="24"/>
          <w:highlight w:val="yellow"/>
        </w:rPr>
        <w:fldChar w:fldCharType="begin"/>
      </w:r>
      <w:r w:rsidRPr="003F2019">
        <w:rPr>
          <w:rFonts w:cs="Times New Roman"/>
          <w:sz w:val="24"/>
          <w:szCs w:val="24"/>
        </w:rPr>
        <w:instrText xml:space="preserve"> REF _Ref124194959 \h </w:instrText>
      </w:r>
      <w:r w:rsidRPr="003F2019">
        <w:rPr>
          <w:rFonts w:cs="Times New Roman"/>
          <w:sz w:val="24"/>
          <w:szCs w:val="24"/>
          <w:highlight w:val="yellow"/>
        </w:rPr>
      </w:r>
      <w:r w:rsidRPr="003F2019">
        <w:rPr>
          <w:rFonts w:cs="Times New Roman"/>
          <w:sz w:val="24"/>
          <w:szCs w:val="24"/>
          <w:highlight w:val="yellow"/>
        </w:rPr>
        <w:fldChar w:fldCharType="separate"/>
      </w:r>
      <w:r w:rsidRPr="003F2019">
        <w:t>Figure 2</w:t>
      </w:r>
      <w:r w:rsidRPr="003F2019">
        <w:rPr>
          <w:rFonts w:cs="Times New Roman"/>
          <w:sz w:val="24"/>
          <w:szCs w:val="24"/>
          <w:highlight w:val="yellow"/>
        </w:rPr>
        <w:fldChar w:fldCharType="end"/>
      </w:r>
      <w:r w:rsidRPr="003F2019">
        <w:rPr>
          <w:rFonts w:cs="Times New Roman"/>
          <w:sz w:val="24"/>
          <w:szCs w:val="24"/>
        </w:rPr>
        <w:t xml:space="preserve"> covers the major components in the standard. </w:t>
      </w:r>
    </w:p>
    <w:p w14:paraId="45690C9A" w14:textId="77777777" w:rsidR="00C73B70" w:rsidRPr="003F2019" w:rsidRDefault="00C73B70" w:rsidP="00C73B70">
      <w:pPr>
        <w:rPr>
          <w:rFonts w:cs="Times New Roman"/>
          <w:sz w:val="24"/>
          <w:szCs w:val="24"/>
        </w:rPr>
      </w:pPr>
      <w:r w:rsidRPr="003F2019">
        <w:rPr>
          <w:rFonts w:cs="Times New Roman"/>
          <w:sz w:val="24"/>
          <w:szCs w:val="24"/>
        </w:rPr>
        <w:t xml:space="preserve">Regarding the geometry, two coding tools are provided, Octree and </w:t>
      </w:r>
      <w:proofErr w:type="spellStart"/>
      <w:r w:rsidRPr="003F2019">
        <w:rPr>
          <w:rFonts w:cs="Times New Roman"/>
          <w:sz w:val="24"/>
          <w:szCs w:val="24"/>
        </w:rPr>
        <w:t>Predtree</w:t>
      </w:r>
      <w:proofErr w:type="spellEnd"/>
      <w:r w:rsidRPr="003F2019">
        <w:rPr>
          <w:rFonts w:cs="Times New Roman"/>
          <w:sz w:val="24"/>
          <w:szCs w:val="24"/>
        </w:rPr>
        <w:t xml:space="preserve"> (Predictive tree). The Octree coding provides general compression method while the </w:t>
      </w:r>
      <w:proofErr w:type="spellStart"/>
      <w:r w:rsidRPr="003F2019">
        <w:rPr>
          <w:rFonts w:cs="Times New Roman"/>
          <w:sz w:val="24"/>
          <w:szCs w:val="24"/>
        </w:rPr>
        <w:t>Predtree</w:t>
      </w:r>
      <w:proofErr w:type="spellEnd"/>
      <w:r w:rsidRPr="003F2019">
        <w:rPr>
          <w:rFonts w:cs="Times New Roman"/>
          <w:sz w:val="24"/>
          <w:szCs w:val="24"/>
        </w:rPr>
        <w:t xml:space="preserve"> coding intends to provide low-delay applications.</w:t>
      </w:r>
    </w:p>
    <w:p w14:paraId="6A153E65" w14:textId="77777777" w:rsidR="00C73B70" w:rsidRPr="003F2019" w:rsidRDefault="00C73B70" w:rsidP="00C73B70">
      <w:pPr>
        <w:rPr>
          <w:rFonts w:cs="Times New Roman"/>
          <w:sz w:val="24"/>
          <w:szCs w:val="24"/>
        </w:rPr>
      </w:pPr>
      <w:r w:rsidRPr="003F2019">
        <w:rPr>
          <w:rFonts w:cs="Times New Roman"/>
          <w:sz w:val="24"/>
          <w:szCs w:val="24"/>
        </w:rPr>
        <w:t>There are 3 attribute coding methods in G-PCC: Region Adaptive Hierarchical Transform (RAHT) coding, interpolation-based hierarchical nearest-</w:t>
      </w:r>
      <w:proofErr w:type="spellStart"/>
      <w:r w:rsidRPr="003F2019">
        <w:rPr>
          <w:rFonts w:cs="Times New Roman"/>
          <w:sz w:val="24"/>
          <w:szCs w:val="24"/>
        </w:rPr>
        <w:t>neighbour</w:t>
      </w:r>
      <w:proofErr w:type="spellEnd"/>
      <w:r w:rsidRPr="003F2019">
        <w:rPr>
          <w:rFonts w:cs="Times New Roman"/>
          <w:sz w:val="24"/>
          <w:szCs w:val="24"/>
        </w:rPr>
        <w:t xml:space="preserve"> prediction (Predicting Transform), and interpolation-based hierarchical nearest-</w:t>
      </w:r>
      <w:proofErr w:type="spellStart"/>
      <w:r w:rsidRPr="003F2019">
        <w:rPr>
          <w:rFonts w:cs="Times New Roman"/>
          <w:sz w:val="24"/>
          <w:szCs w:val="24"/>
        </w:rPr>
        <w:t>neighbour</w:t>
      </w:r>
      <w:proofErr w:type="spellEnd"/>
      <w:r w:rsidRPr="003F2019">
        <w:rPr>
          <w:rFonts w:cs="Times New Roman"/>
          <w:sz w:val="24"/>
          <w:szCs w:val="24"/>
        </w:rPr>
        <w:t xml:space="preserve"> prediction with an update/lifting step (Lifting Transform).  </w:t>
      </w:r>
    </w:p>
    <w:p w14:paraId="4C078959" w14:textId="77777777" w:rsidR="00C73B70" w:rsidRPr="003F2019" w:rsidRDefault="00C73B70" w:rsidP="00C73B70">
      <w:pPr>
        <w:rPr>
          <w:rFonts w:cs="Times New Roman"/>
          <w:sz w:val="24"/>
          <w:szCs w:val="24"/>
        </w:rPr>
      </w:pPr>
      <w:r w:rsidRPr="003F2019">
        <w:rPr>
          <w:rFonts w:cs="Times New Roman"/>
          <w:sz w:val="24"/>
          <w:szCs w:val="24"/>
        </w:rPr>
        <w:t xml:space="preserve">The detail information of the coding tools can be found in </w:t>
      </w:r>
      <w:r w:rsidRPr="003F2019">
        <w:rPr>
          <w:rFonts w:cs="Times New Roman"/>
          <w:sz w:val="24"/>
          <w:szCs w:val="24"/>
        </w:rPr>
        <w:fldChar w:fldCharType="begin"/>
      </w:r>
      <w:r w:rsidRPr="003F2019">
        <w:rPr>
          <w:rFonts w:cs="Times New Roman"/>
          <w:sz w:val="24"/>
          <w:szCs w:val="24"/>
        </w:rPr>
        <w:instrText xml:space="preserve"> REF _Ref124195243 \n \h </w:instrText>
      </w:r>
      <w:r w:rsidRPr="003F2019">
        <w:rPr>
          <w:rFonts w:cs="Times New Roman"/>
          <w:sz w:val="24"/>
          <w:szCs w:val="24"/>
        </w:rPr>
      </w:r>
      <w:r w:rsidRPr="003F2019">
        <w:rPr>
          <w:rFonts w:cs="Times New Roman"/>
          <w:sz w:val="24"/>
          <w:szCs w:val="24"/>
        </w:rPr>
        <w:fldChar w:fldCharType="separate"/>
      </w:r>
      <w:r w:rsidRPr="003F2019">
        <w:rPr>
          <w:rFonts w:cs="Times New Roman"/>
          <w:sz w:val="24"/>
          <w:szCs w:val="24"/>
        </w:rPr>
        <w:t>[2]</w:t>
      </w:r>
      <w:r w:rsidRPr="003F2019">
        <w:rPr>
          <w:rFonts w:cs="Times New Roman"/>
          <w:sz w:val="24"/>
          <w:szCs w:val="24"/>
        </w:rPr>
        <w:fldChar w:fldCharType="end"/>
      </w:r>
      <w:r w:rsidRPr="003F2019">
        <w:rPr>
          <w:rFonts w:cs="Times New Roman"/>
          <w:sz w:val="24"/>
          <w:szCs w:val="24"/>
        </w:rPr>
        <w:t>.</w:t>
      </w:r>
    </w:p>
    <w:p w14:paraId="582D014F" w14:textId="77777777" w:rsidR="00C73B70" w:rsidRPr="003F2019" w:rsidRDefault="00C73B70" w:rsidP="00C73B70">
      <w:pPr>
        <w:widowControl/>
        <w:autoSpaceDE/>
        <w:autoSpaceDN/>
        <w:spacing w:before="120" w:after="120"/>
        <w:jc w:val="both"/>
        <w:rPr>
          <w:rFonts w:cs="Times New Roman"/>
        </w:rPr>
      </w:pPr>
    </w:p>
    <w:p w14:paraId="519815B4" w14:textId="77777777" w:rsidR="00C73B70" w:rsidRPr="003F2019" w:rsidRDefault="00C73B70" w:rsidP="00C73B70">
      <w:pPr>
        <w:keepNext/>
        <w:widowControl/>
        <w:autoSpaceDE/>
        <w:autoSpaceDN/>
        <w:spacing w:before="120" w:after="120"/>
        <w:jc w:val="both"/>
      </w:pPr>
      <w:r w:rsidRPr="003F2019">
        <w:rPr>
          <w:rFonts w:eastAsia="맑은 고딕" w:cs="Times New Roman"/>
          <w:noProof/>
          <w:sz w:val="24"/>
          <w:szCs w:val="24"/>
          <w:lang w:eastAsia="ko-KR"/>
        </w:rPr>
        <w:drawing>
          <wp:inline distT="0" distB="0" distL="0" distR="0" wp14:anchorId="2B9217D2" wp14:editId="1EA8A7F6">
            <wp:extent cx="5727700" cy="3300730"/>
            <wp:effectExtent l="0" t="0" r="635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7700" cy="3300730"/>
                    </a:xfrm>
                    <a:prstGeom prst="rect">
                      <a:avLst/>
                    </a:prstGeom>
                  </pic:spPr>
                </pic:pic>
              </a:graphicData>
            </a:graphic>
          </wp:inline>
        </w:drawing>
      </w:r>
    </w:p>
    <w:p w14:paraId="52858AB5" w14:textId="77777777" w:rsidR="00C73B70" w:rsidRPr="003F2019" w:rsidRDefault="00C73B70" w:rsidP="00C73B70">
      <w:pPr>
        <w:pStyle w:val="ad"/>
        <w:jc w:val="center"/>
        <w:rPr>
          <w:rFonts w:eastAsia="맑은 고딕"/>
          <w:sz w:val="24"/>
          <w:szCs w:val="24"/>
          <w:lang w:eastAsia="ko-KR"/>
        </w:rPr>
      </w:pPr>
      <w:bookmarkStart w:id="1" w:name="_Ref124194959"/>
      <w:r w:rsidRPr="003F2019">
        <w:t xml:space="preserve">Figure </w:t>
      </w:r>
      <w:fldSimple w:instr=" SEQ Figure \* ARABIC ">
        <w:r w:rsidRPr="003F2019">
          <w:t>2</w:t>
        </w:r>
      </w:fldSimple>
      <w:bookmarkEnd w:id="1"/>
      <w:r w:rsidRPr="003F2019">
        <w:t xml:space="preserve"> </w:t>
      </w:r>
      <w:r w:rsidRPr="003F2019">
        <w:rPr>
          <w:sz w:val="16"/>
        </w:rPr>
        <w:t>G-PCC</w:t>
      </w:r>
      <w:r w:rsidRPr="003F2019">
        <w:rPr>
          <w:spacing w:val="8"/>
          <w:sz w:val="16"/>
        </w:rPr>
        <w:t xml:space="preserve"> </w:t>
      </w:r>
      <w:r w:rsidRPr="003F2019">
        <w:rPr>
          <w:sz w:val="16"/>
        </w:rPr>
        <w:t>codec</w:t>
      </w:r>
      <w:r w:rsidRPr="003F2019">
        <w:rPr>
          <w:spacing w:val="8"/>
          <w:sz w:val="16"/>
        </w:rPr>
        <w:t xml:space="preserve"> </w:t>
      </w:r>
      <w:r w:rsidRPr="003F2019">
        <w:rPr>
          <w:sz w:val="16"/>
        </w:rPr>
        <w:t>architecture:</w:t>
      </w:r>
      <w:r w:rsidRPr="003F2019">
        <w:rPr>
          <w:spacing w:val="8"/>
          <w:sz w:val="16"/>
        </w:rPr>
        <w:t xml:space="preserve"> </w:t>
      </w:r>
      <w:r w:rsidRPr="003F2019">
        <w:rPr>
          <w:sz w:val="16"/>
        </w:rPr>
        <w:t>(a)</w:t>
      </w:r>
      <w:r w:rsidRPr="003F2019">
        <w:rPr>
          <w:spacing w:val="8"/>
          <w:sz w:val="16"/>
        </w:rPr>
        <w:t xml:space="preserve"> </w:t>
      </w:r>
      <w:r w:rsidRPr="003F2019">
        <w:rPr>
          <w:sz w:val="16"/>
        </w:rPr>
        <w:t>encoder</w:t>
      </w:r>
      <w:r w:rsidRPr="003F2019">
        <w:rPr>
          <w:spacing w:val="7"/>
          <w:sz w:val="16"/>
        </w:rPr>
        <w:t xml:space="preserve"> </w:t>
      </w:r>
      <w:r w:rsidRPr="003F2019">
        <w:rPr>
          <w:sz w:val="16"/>
        </w:rPr>
        <w:t>and</w:t>
      </w:r>
      <w:r w:rsidRPr="003F2019">
        <w:rPr>
          <w:spacing w:val="8"/>
          <w:sz w:val="16"/>
        </w:rPr>
        <w:t xml:space="preserve"> </w:t>
      </w:r>
      <w:r w:rsidRPr="003F2019">
        <w:rPr>
          <w:sz w:val="16"/>
        </w:rPr>
        <w:t>(b)</w:t>
      </w:r>
      <w:r w:rsidRPr="003F2019">
        <w:rPr>
          <w:spacing w:val="8"/>
          <w:sz w:val="16"/>
        </w:rPr>
        <w:t xml:space="preserve"> </w:t>
      </w:r>
      <w:r w:rsidRPr="003F2019">
        <w:rPr>
          <w:sz w:val="16"/>
        </w:rPr>
        <w:t>decoder.</w:t>
      </w:r>
      <w:r w:rsidRPr="003F2019">
        <w:rPr>
          <w:spacing w:val="8"/>
          <w:sz w:val="16"/>
        </w:rPr>
        <w:t xml:space="preserve"> </w:t>
      </w:r>
      <w:r w:rsidRPr="003F2019">
        <w:rPr>
          <w:sz w:val="16"/>
        </w:rPr>
        <w:t>Key</w:t>
      </w:r>
      <w:r w:rsidRPr="003F2019">
        <w:rPr>
          <w:spacing w:val="8"/>
          <w:sz w:val="16"/>
        </w:rPr>
        <w:t xml:space="preserve"> </w:t>
      </w:r>
      <w:r w:rsidRPr="003F2019">
        <w:rPr>
          <w:sz w:val="16"/>
        </w:rPr>
        <w:t>components</w:t>
      </w:r>
      <w:r w:rsidRPr="003F2019">
        <w:rPr>
          <w:spacing w:val="8"/>
          <w:sz w:val="16"/>
        </w:rPr>
        <w:t xml:space="preserve"> </w:t>
      </w:r>
      <w:r w:rsidRPr="003F2019">
        <w:rPr>
          <w:sz w:val="16"/>
        </w:rPr>
        <w:t>indexed</w:t>
      </w:r>
      <w:r w:rsidRPr="003F2019">
        <w:rPr>
          <w:spacing w:val="7"/>
          <w:sz w:val="16"/>
        </w:rPr>
        <w:t xml:space="preserve"> </w:t>
      </w:r>
      <w:r w:rsidRPr="003F2019">
        <w:rPr>
          <w:sz w:val="16"/>
        </w:rPr>
        <w:t>from</w:t>
      </w:r>
      <w:r w:rsidRPr="003F2019">
        <w:rPr>
          <w:spacing w:val="8"/>
          <w:sz w:val="16"/>
        </w:rPr>
        <w:t xml:space="preserve"> </w:t>
      </w:r>
      <w:r w:rsidRPr="003F2019">
        <w:rPr>
          <w:sz w:val="16"/>
        </w:rPr>
        <w:t>A</w:t>
      </w:r>
      <w:r w:rsidRPr="003F2019">
        <w:rPr>
          <w:spacing w:val="8"/>
          <w:sz w:val="16"/>
        </w:rPr>
        <w:t xml:space="preserve"> </w:t>
      </w:r>
      <w:r w:rsidRPr="003F2019">
        <w:rPr>
          <w:sz w:val="16"/>
        </w:rPr>
        <w:t>to</w:t>
      </w:r>
      <w:r w:rsidRPr="003F2019">
        <w:rPr>
          <w:spacing w:val="8"/>
          <w:sz w:val="16"/>
        </w:rPr>
        <w:t xml:space="preserve"> </w:t>
      </w:r>
      <w:r w:rsidRPr="003F2019">
        <w:rPr>
          <w:sz w:val="16"/>
        </w:rPr>
        <w:t>G</w:t>
      </w:r>
      <w:r w:rsidRPr="003F2019">
        <w:rPr>
          <w:spacing w:val="8"/>
          <w:sz w:val="16"/>
        </w:rPr>
        <w:t xml:space="preserve"> </w:t>
      </w:r>
      <w:r w:rsidRPr="003F2019">
        <w:rPr>
          <w:sz w:val="16"/>
        </w:rPr>
        <w:t>are</w:t>
      </w:r>
      <w:r w:rsidRPr="003F2019">
        <w:rPr>
          <w:spacing w:val="8"/>
          <w:sz w:val="16"/>
        </w:rPr>
        <w:t xml:space="preserve"> </w:t>
      </w:r>
      <w:r w:rsidRPr="003F2019">
        <w:rPr>
          <w:sz w:val="16"/>
        </w:rPr>
        <w:t>geometry</w:t>
      </w:r>
      <w:r w:rsidRPr="003F2019">
        <w:rPr>
          <w:spacing w:val="7"/>
          <w:sz w:val="16"/>
        </w:rPr>
        <w:t xml:space="preserve"> </w:t>
      </w:r>
      <w:r w:rsidRPr="003F2019">
        <w:rPr>
          <w:sz w:val="16"/>
        </w:rPr>
        <w:t>pre-processing,</w:t>
      </w:r>
      <w:r w:rsidRPr="003F2019">
        <w:rPr>
          <w:spacing w:val="8"/>
          <w:sz w:val="16"/>
        </w:rPr>
        <w:t xml:space="preserve"> </w:t>
      </w:r>
      <w:r w:rsidRPr="003F2019">
        <w:rPr>
          <w:sz w:val="16"/>
        </w:rPr>
        <w:t>octree</w:t>
      </w:r>
      <w:r w:rsidRPr="003F2019">
        <w:rPr>
          <w:spacing w:val="8"/>
          <w:sz w:val="16"/>
        </w:rPr>
        <w:t xml:space="preserve"> </w:t>
      </w:r>
      <w:r w:rsidRPr="003F2019">
        <w:rPr>
          <w:sz w:val="16"/>
        </w:rPr>
        <w:t>coding,</w:t>
      </w:r>
      <w:r w:rsidRPr="003F2019">
        <w:rPr>
          <w:spacing w:val="8"/>
          <w:sz w:val="16"/>
        </w:rPr>
        <w:t xml:space="preserve"> </w:t>
      </w:r>
      <w:r w:rsidRPr="003F2019">
        <w:rPr>
          <w:sz w:val="16"/>
        </w:rPr>
        <w:t>predictive</w:t>
      </w:r>
      <w:r w:rsidRPr="003F2019">
        <w:rPr>
          <w:spacing w:val="-37"/>
          <w:sz w:val="16"/>
        </w:rPr>
        <w:t xml:space="preserve"> </w:t>
      </w:r>
      <w:r w:rsidRPr="003F2019">
        <w:rPr>
          <w:sz w:val="16"/>
        </w:rPr>
        <w:t>coding,</w:t>
      </w:r>
      <w:r w:rsidRPr="003F2019">
        <w:rPr>
          <w:spacing w:val="12"/>
          <w:sz w:val="16"/>
        </w:rPr>
        <w:t xml:space="preserve"> </w:t>
      </w:r>
      <w:r w:rsidRPr="003F2019">
        <w:rPr>
          <w:sz w:val="16"/>
        </w:rPr>
        <w:t>attribute</w:t>
      </w:r>
      <w:r w:rsidRPr="003F2019">
        <w:rPr>
          <w:spacing w:val="13"/>
          <w:sz w:val="16"/>
        </w:rPr>
        <w:t xml:space="preserve"> </w:t>
      </w:r>
      <w:r w:rsidRPr="003F2019">
        <w:rPr>
          <w:sz w:val="16"/>
        </w:rPr>
        <w:t>pre-processing,</w:t>
      </w:r>
      <w:r w:rsidRPr="003F2019">
        <w:rPr>
          <w:spacing w:val="13"/>
          <w:sz w:val="16"/>
        </w:rPr>
        <w:t xml:space="preserve"> </w:t>
      </w:r>
      <w:r w:rsidRPr="003F2019">
        <w:rPr>
          <w:sz w:val="16"/>
        </w:rPr>
        <w:t>RAHT,</w:t>
      </w:r>
      <w:r w:rsidRPr="003F2019">
        <w:rPr>
          <w:spacing w:val="12"/>
          <w:sz w:val="16"/>
        </w:rPr>
        <w:t xml:space="preserve"> </w:t>
      </w:r>
      <w:r w:rsidRPr="003F2019">
        <w:rPr>
          <w:sz w:val="16"/>
        </w:rPr>
        <w:t>predicting/lifting</w:t>
      </w:r>
      <w:r w:rsidRPr="003F2019">
        <w:rPr>
          <w:spacing w:val="13"/>
          <w:sz w:val="16"/>
        </w:rPr>
        <w:t xml:space="preserve"> </w:t>
      </w:r>
      <w:r w:rsidRPr="003F2019">
        <w:rPr>
          <w:sz w:val="16"/>
        </w:rPr>
        <w:t>and</w:t>
      </w:r>
      <w:r w:rsidRPr="003F2019">
        <w:rPr>
          <w:spacing w:val="13"/>
          <w:sz w:val="16"/>
        </w:rPr>
        <w:t xml:space="preserve"> </w:t>
      </w:r>
      <w:r w:rsidRPr="003F2019">
        <w:rPr>
          <w:sz w:val="16"/>
        </w:rPr>
        <w:t>arithmetic</w:t>
      </w:r>
      <w:r w:rsidRPr="003F2019">
        <w:rPr>
          <w:spacing w:val="12"/>
          <w:sz w:val="16"/>
        </w:rPr>
        <w:t xml:space="preserve"> </w:t>
      </w:r>
      <w:r w:rsidRPr="003F2019">
        <w:rPr>
          <w:sz w:val="16"/>
        </w:rPr>
        <w:t>coding,</w:t>
      </w:r>
      <w:r w:rsidRPr="003F2019">
        <w:rPr>
          <w:spacing w:val="13"/>
          <w:sz w:val="16"/>
        </w:rPr>
        <w:t xml:space="preserve"> </w:t>
      </w:r>
      <w:r w:rsidRPr="003F2019">
        <w:rPr>
          <w:sz w:val="16"/>
        </w:rPr>
        <w:t>respectively.</w:t>
      </w:r>
      <w:r w:rsidRPr="003F2019">
        <w:rPr>
          <w:spacing w:val="13"/>
          <w:sz w:val="16"/>
        </w:rPr>
        <w:t xml:space="preserve"> </w:t>
      </w:r>
      <w:r w:rsidRPr="003F2019">
        <w:rPr>
          <w:sz w:val="16"/>
        </w:rPr>
        <w:t>Modules</w:t>
      </w:r>
      <w:r w:rsidRPr="003F2019">
        <w:rPr>
          <w:spacing w:val="12"/>
          <w:sz w:val="16"/>
        </w:rPr>
        <w:t xml:space="preserve"> </w:t>
      </w:r>
      <w:r w:rsidRPr="003F2019">
        <w:rPr>
          <w:sz w:val="16"/>
        </w:rPr>
        <w:t>in</w:t>
      </w:r>
      <w:r w:rsidRPr="003F2019">
        <w:rPr>
          <w:spacing w:val="13"/>
          <w:sz w:val="16"/>
        </w:rPr>
        <w:t xml:space="preserve"> </w:t>
      </w:r>
      <w:r w:rsidRPr="003F2019">
        <w:rPr>
          <w:sz w:val="16"/>
        </w:rPr>
        <w:t>dotted</w:t>
      </w:r>
      <w:r w:rsidRPr="003F2019">
        <w:rPr>
          <w:spacing w:val="13"/>
          <w:sz w:val="16"/>
        </w:rPr>
        <w:t xml:space="preserve"> </w:t>
      </w:r>
      <w:r w:rsidRPr="003F2019">
        <w:rPr>
          <w:sz w:val="16"/>
        </w:rPr>
        <w:t>boxes</w:t>
      </w:r>
      <w:r w:rsidRPr="003F2019">
        <w:rPr>
          <w:spacing w:val="12"/>
          <w:sz w:val="16"/>
        </w:rPr>
        <w:t xml:space="preserve"> </w:t>
      </w:r>
      <w:r w:rsidRPr="003F2019">
        <w:rPr>
          <w:sz w:val="16"/>
        </w:rPr>
        <w:t>are</w:t>
      </w:r>
      <w:r w:rsidRPr="003F2019">
        <w:rPr>
          <w:spacing w:val="13"/>
          <w:sz w:val="16"/>
        </w:rPr>
        <w:t xml:space="preserve"> </w:t>
      </w:r>
      <w:r w:rsidRPr="003F2019">
        <w:rPr>
          <w:sz w:val="16"/>
        </w:rPr>
        <w:t>optionally</w:t>
      </w:r>
      <w:r w:rsidRPr="003F2019">
        <w:rPr>
          <w:spacing w:val="13"/>
          <w:sz w:val="16"/>
        </w:rPr>
        <w:t xml:space="preserve"> </w:t>
      </w:r>
      <w:r w:rsidRPr="003F2019">
        <w:rPr>
          <w:sz w:val="16"/>
        </w:rPr>
        <w:t>performed.</w:t>
      </w:r>
    </w:p>
    <w:p w14:paraId="6827264E" w14:textId="77777777" w:rsidR="00C73B70" w:rsidRPr="003F2019" w:rsidRDefault="00C73B70" w:rsidP="00C73B70">
      <w:pPr>
        <w:rPr>
          <w:lang w:eastAsia="ko-KR"/>
        </w:rPr>
      </w:pPr>
    </w:p>
    <w:p w14:paraId="40F57566" w14:textId="77777777" w:rsidR="00C73B70" w:rsidRPr="003F2019" w:rsidRDefault="00C73B70" w:rsidP="00C73B70">
      <w:pPr>
        <w:widowControl/>
        <w:autoSpaceDE/>
        <w:autoSpaceDN/>
        <w:spacing w:before="120" w:after="120"/>
        <w:jc w:val="both"/>
        <w:rPr>
          <w:rFonts w:eastAsia="맑은 고딕" w:cs="Times New Roman"/>
          <w:b/>
          <w:bCs/>
          <w:sz w:val="32"/>
          <w:szCs w:val="32"/>
          <w:lang w:eastAsia="ko-KR"/>
        </w:rPr>
      </w:pPr>
      <w:r w:rsidRPr="003F2019">
        <w:rPr>
          <w:rFonts w:eastAsia="맑은 고딕" w:cs="Times New Roman"/>
          <w:b/>
          <w:bCs/>
          <w:sz w:val="32"/>
          <w:szCs w:val="32"/>
          <w:lang w:eastAsia="ko-KR"/>
        </w:rPr>
        <w:t>Functionalities</w:t>
      </w:r>
    </w:p>
    <w:p w14:paraId="23A59596" w14:textId="77777777" w:rsidR="00C73B70" w:rsidRPr="003F2019" w:rsidRDefault="00C73B70" w:rsidP="00C73B70">
      <w:pPr>
        <w:pStyle w:val="a5"/>
        <w:widowControl/>
        <w:numPr>
          <w:ilvl w:val="0"/>
          <w:numId w:val="6"/>
        </w:numPr>
        <w:autoSpaceDE/>
        <w:autoSpaceDN/>
        <w:spacing w:before="120" w:after="120"/>
        <w:jc w:val="both"/>
        <w:rPr>
          <w:rFonts w:eastAsiaTheme="minorEastAsia" w:cs="Times New Roman"/>
          <w:sz w:val="24"/>
          <w:szCs w:val="24"/>
          <w:lang w:eastAsia="ja-JP"/>
        </w:rPr>
      </w:pPr>
      <w:r w:rsidRPr="003F2019">
        <w:rPr>
          <w:rFonts w:eastAsiaTheme="minorEastAsia" w:cs="Times New Roman"/>
          <w:sz w:val="24"/>
          <w:szCs w:val="24"/>
          <w:lang w:eastAsia="ja-JP"/>
        </w:rPr>
        <w:t>Parallel processing capability</w:t>
      </w:r>
    </w:p>
    <w:p w14:paraId="22685291" w14:textId="77777777" w:rsidR="00C73B70" w:rsidRPr="003F2019" w:rsidRDefault="00C73B70" w:rsidP="00C73B70">
      <w:pPr>
        <w:rPr>
          <w:rFonts w:cs="Times New Roman"/>
          <w:sz w:val="24"/>
          <w:szCs w:val="24"/>
        </w:rPr>
      </w:pPr>
      <w:r w:rsidRPr="003F2019">
        <w:rPr>
          <w:rFonts w:cs="Times New Roman"/>
          <w:sz w:val="24"/>
          <w:szCs w:val="24"/>
        </w:rPr>
        <w:t xml:space="preserve">As a recent coding standard, G-PCC supports parallel processing both in encoder and decoder with a </w:t>
      </w:r>
      <w:r w:rsidRPr="003F2019">
        <w:rPr>
          <w:rFonts w:cs="Times New Roman"/>
          <w:sz w:val="24"/>
          <w:szCs w:val="24"/>
        </w:rPr>
        <w:lastRenderedPageBreak/>
        <w:t>slice coding. A single point cloud frame can be divided into multiple data unit as a slice to allow parallel processing within a single frame. A slice is a set of points comprising one geometry data unit and zero or more attribute data units. A group of slices may be identified by a common tile identifier. A tile inventory contains metadata that defines zero or more spatial regions. Each spatial region is identified by either an implicit or explicit tile ID. Each slice that belongs to the same tile may be allowed to have dependencies while the slices with different indices of the tile should be independent.</w:t>
      </w:r>
    </w:p>
    <w:p w14:paraId="17344B90" w14:textId="77777777" w:rsidR="00C73B70" w:rsidRPr="003F2019" w:rsidRDefault="00C73B70" w:rsidP="00C73B70">
      <w:pPr>
        <w:rPr>
          <w:rFonts w:cs="Times New Roman"/>
          <w:sz w:val="24"/>
          <w:szCs w:val="24"/>
        </w:rPr>
      </w:pPr>
      <w:r w:rsidRPr="003F2019">
        <w:rPr>
          <w:rFonts w:cs="Times New Roman"/>
          <w:sz w:val="24"/>
          <w:szCs w:val="24"/>
        </w:rPr>
        <w:t>From one slice to another, there should be a process to re-initialize the state of the entropy coding engine to the default value at the end of each slice for parallelism. The initialization of the entropy context table will cause a decrease in encoding performance. However, if slice is implemented for data segmentation purposes in low latency application and not for parallelism, an entropy context continuation flag is introduced to save the context probability table at the end of slice and set it back at the beginning of the next slice for the sustainable use of the same context probability. This method will be able to improve the coding performance for slices.</w:t>
      </w:r>
    </w:p>
    <w:p w14:paraId="4C438058" w14:textId="77777777" w:rsidR="00C73B70" w:rsidRPr="003F2019" w:rsidRDefault="00C73B70" w:rsidP="00C73B70">
      <w:pPr>
        <w:rPr>
          <w:rFonts w:cs="Times New Roman"/>
          <w:sz w:val="24"/>
          <w:szCs w:val="24"/>
        </w:rPr>
      </w:pPr>
    </w:p>
    <w:p w14:paraId="549F902D" w14:textId="77777777" w:rsidR="00C73B70" w:rsidRPr="003F2019" w:rsidRDefault="00C73B70" w:rsidP="00C73B70">
      <w:pPr>
        <w:pStyle w:val="a5"/>
        <w:numPr>
          <w:ilvl w:val="0"/>
          <w:numId w:val="6"/>
        </w:numPr>
        <w:rPr>
          <w:rFonts w:eastAsiaTheme="minorEastAsia" w:cs="Times New Roman"/>
          <w:sz w:val="24"/>
          <w:szCs w:val="24"/>
          <w:lang w:eastAsia="ja-JP"/>
        </w:rPr>
      </w:pPr>
      <w:r w:rsidRPr="003F2019">
        <w:rPr>
          <w:rFonts w:eastAsiaTheme="minorEastAsia" w:cs="Times New Roman"/>
          <w:sz w:val="24"/>
          <w:szCs w:val="24"/>
          <w:lang w:eastAsia="ja-JP"/>
        </w:rPr>
        <w:t>Quality control</w:t>
      </w:r>
    </w:p>
    <w:p w14:paraId="086AF0E2" w14:textId="77777777" w:rsidR="00C73B70" w:rsidRPr="003F2019" w:rsidRDefault="00C73B70" w:rsidP="00C73B70">
      <w:pPr>
        <w:widowControl/>
        <w:autoSpaceDE/>
        <w:autoSpaceDN/>
        <w:spacing w:before="120" w:after="120"/>
        <w:jc w:val="both"/>
        <w:rPr>
          <w:rFonts w:cs="Times New Roman"/>
          <w:sz w:val="24"/>
          <w:szCs w:val="24"/>
          <w:lang w:eastAsia="ja-JP"/>
        </w:rPr>
      </w:pPr>
      <w:r w:rsidRPr="003F2019">
        <w:rPr>
          <w:rFonts w:cs="Times New Roman"/>
          <w:sz w:val="24"/>
          <w:szCs w:val="24"/>
          <w:lang w:eastAsia="ja-JP"/>
        </w:rPr>
        <w:t>In G-PCC, the geometry quality and attribute quality can be adjusted independently.</w:t>
      </w:r>
    </w:p>
    <w:p w14:paraId="09A7BC1C" w14:textId="77777777" w:rsidR="00C73B70" w:rsidRPr="003F2019" w:rsidRDefault="00C73B70" w:rsidP="00C73B70">
      <w:pPr>
        <w:widowControl/>
        <w:autoSpaceDE/>
        <w:autoSpaceDN/>
        <w:spacing w:before="120" w:after="120"/>
        <w:jc w:val="both"/>
        <w:rPr>
          <w:rFonts w:cs="Times New Roman"/>
          <w:sz w:val="24"/>
          <w:szCs w:val="24"/>
          <w:lang w:eastAsia="ja-JP"/>
        </w:rPr>
      </w:pPr>
      <w:r w:rsidRPr="003F2019">
        <w:rPr>
          <w:rFonts w:cs="Times New Roman"/>
          <w:sz w:val="24"/>
          <w:szCs w:val="24"/>
          <w:lang w:eastAsia="ja-JP"/>
        </w:rPr>
        <w:t xml:space="preserve">For geometry, the quality adjustment can be achieved by the non-normative voxelization in the pre-processing stage. The </w:t>
      </w:r>
      <w:proofErr w:type="spellStart"/>
      <w:r w:rsidRPr="003F2019">
        <w:rPr>
          <w:rFonts w:cs="Times New Roman"/>
          <w:sz w:val="24"/>
          <w:szCs w:val="24"/>
          <w:lang w:eastAsia="ja-JP"/>
        </w:rPr>
        <w:t>voxelized</w:t>
      </w:r>
      <w:proofErr w:type="spellEnd"/>
      <w:r w:rsidRPr="003F2019">
        <w:rPr>
          <w:rFonts w:cs="Times New Roman"/>
          <w:sz w:val="24"/>
          <w:szCs w:val="24"/>
          <w:lang w:eastAsia="ja-JP"/>
        </w:rPr>
        <w:t xml:space="preserve"> input can be further quantized with normative qual- </w:t>
      </w:r>
      <w:proofErr w:type="spellStart"/>
      <w:r w:rsidRPr="003F2019">
        <w:rPr>
          <w:rFonts w:cs="Times New Roman"/>
          <w:sz w:val="24"/>
          <w:szCs w:val="24"/>
          <w:lang w:eastAsia="ja-JP"/>
        </w:rPr>
        <w:t>ity</w:t>
      </w:r>
      <w:proofErr w:type="spellEnd"/>
      <w:r w:rsidRPr="003F2019">
        <w:rPr>
          <w:rFonts w:cs="Times New Roman"/>
          <w:sz w:val="24"/>
          <w:szCs w:val="24"/>
          <w:lang w:eastAsia="ja-JP"/>
        </w:rPr>
        <w:t xml:space="preserve"> control tools. For octree case, the in-tree quantization is used to adjust the voxel resolution for each spatial region. It cuts leaf nodes from specific depth with controlled granularity. For predicting geometry case, the geometry quality is adjusted by controlling the accuracy of the residual. These adjustments can be made independently for each data unit.</w:t>
      </w:r>
    </w:p>
    <w:p w14:paraId="02E845E2" w14:textId="77777777" w:rsidR="00C73B70" w:rsidRPr="003F2019" w:rsidRDefault="00C73B70" w:rsidP="00C73B70">
      <w:pPr>
        <w:widowControl/>
        <w:autoSpaceDE/>
        <w:autoSpaceDN/>
        <w:spacing w:before="120" w:after="120"/>
        <w:jc w:val="both"/>
        <w:rPr>
          <w:rFonts w:cs="Times New Roman"/>
          <w:sz w:val="24"/>
          <w:szCs w:val="24"/>
          <w:lang w:eastAsia="ja-JP"/>
        </w:rPr>
      </w:pPr>
      <w:r w:rsidRPr="003F2019">
        <w:rPr>
          <w:rFonts w:cs="Times New Roman"/>
          <w:sz w:val="24"/>
          <w:szCs w:val="24"/>
          <w:lang w:eastAsia="ja-JP"/>
        </w:rPr>
        <w:t xml:space="preserve">As for attribute, except for the slice-based quality control enabled by the slice and tile functionality, there are two alternatives to control the quality of the reconstructed signals: the layer-based quantization control and the region-wise quantization control. The layer-based quality control enables the quality adjustment for each refinement layer in the </w:t>
      </w:r>
      <w:proofErr w:type="spellStart"/>
      <w:r w:rsidRPr="003F2019">
        <w:rPr>
          <w:rFonts w:cs="Times New Roman"/>
          <w:sz w:val="24"/>
          <w:szCs w:val="24"/>
          <w:lang w:eastAsia="ja-JP"/>
        </w:rPr>
        <w:t>LoD</w:t>
      </w:r>
      <w:proofErr w:type="spellEnd"/>
      <w:r w:rsidRPr="003F2019">
        <w:rPr>
          <w:rFonts w:cs="Times New Roman"/>
          <w:sz w:val="24"/>
          <w:szCs w:val="24"/>
          <w:lang w:eastAsia="ja-JP"/>
        </w:rPr>
        <w:t xml:space="preserve"> scheme and the octree layer in the RAHT scheme. More precisely, a layer QP offset parameter is </w:t>
      </w:r>
      <w:proofErr w:type="spellStart"/>
      <w:r w:rsidRPr="003F2019">
        <w:rPr>
          <w:rFonts w:cs="Times New Roman"/>
          <w:sz w:val="24"/>
          <w:szCs w:val="24"/>
          <w:lang w:eastAsia="ja-JP"/>
        </w:rPr>
        <w:t>signalled</w:t>
      </w:r>
      <w:proofErr w:type="spellEnd"/>
      <w:r w:rsidRPr="003F2019">
        <w:rPr>
          <w:rFonts w:cs="Times New Roman"/>
          <w:sz w:val="24"/>
          <w:szCs w:val="24"/>
          <w:lang w:eastAsia="ja-JP"/>
        </w:rPr>
        <w:t xml:space="preserve"> in each attribute slice header. The effective QP value for each layer in a particular slice is obtained by adding the layer QP offset of that layer with the QP of that slice. Additionally, as the visual importance may vary across the 3D space, the quantization parameter can be further adjusted in a region-wise manner according to the point location in slice. For points within the specified box region where QP value is desired to be changed, a region QP offset is indicated and is added on top of the </w:t>
      </w:r>
      <w:proofErr w:type="spellStart"/>
      <w:r w:rsidRPr="003F2019">
        <w:rPr>
          <w:rFonts w:cs="Times New Roman"/>
          <w:sz w:val="24"/>
          <w:szCs w:val="24"/>
          <w:lang w:eastAsia="ja-JP"/>
        </w:rPr>
        <w:t>the</w:t>
      </w:r>
      <w:proofErr w:type="spellEnd"/>
      <w:r w:rsidRPr="003F2019">
        <w:rPr>
          <w:rFonts w:cs="Times New Roman"/>
          <w:sz w:val="24"/>
          <w:szCs w:val="24"/>
          <w:lang w:eastAsia="ja-JP"/>
        </w:rPr>
        <w:t xml:space="preserve"> slice QP. In conclusion, the region-based adjustment provides the quality control in spatial domain while the layer-based adjustment provides quality control in frequency domain.</w:t>
      </w:r>
    </w:p>
    <w:p w14:paraId="23CD9C10" w14:textId="77777777" w:rsidR="00C73B70" w:rsidRPr="003F2019" w:rsidRDefault="00C73B70" w:rsidP="00C73B70">
      <w:pPr>
        <w:pStyle w:val="a5"/>
        <w:widowControl/>
        <w:numPr>
          <w:ilvl w:val="0"/>
          <w:numId w:val="6"/>
        </w:numPr>
        <w:autoSpaceDE/>
        <w:autoSpaceDN/>
        <w:spacing w:before="120" w:after="120"/>
        <w:jc w:val="both"/>
        <w:rPr>
          <w:rFonts w:cs="Times New Roman"/>
          <w:sz w:val="24"/>
          <w:szCs w:val="24"/>
          <w:lang w:eastAsia="ja-JP"/>
        </w:rPr>
      </w:pPr>
      <w:r w:rsidRPr="003F2019">
        <w:rPr>
          <w:rFonts w:cs="Times New Roman"/>
          <w:sz w:val="24"/>
          <w:szCs w:val="24"/>
          <w:lang w:eastAsia="ja-JP"/>
        </w:rPr>
        <w:t>Scalability</w:t>
      </w:r>
    </w:p>
    <w:p w14:paraId="21E8C4B1" w14:textId="77777777" w:rsidR="00C73B70" w:rsidRPr="003F2019" w:rsidRDefault="00C73B70" w:rsidP="00C73B70">
      <w:pPr>
        <w:widowControl/>
        <w:autoSpaceDE/>
        <w:autoSpaceDN/>
        <w:spacing w:before="120" w:after="120"/>
        <w:jc w:val="both"/>
        <w:rPr>
          <w:rFonts w:cs="Times New Roman"/>
          <w:sz w:val="24"/>
          <w:szCs w:val="24"/>
          <w:lang w:eastAsia="ja-JP"/>
        </w:rPr>
      </w:pPr>
      <w:r w:rsidRPr="003F2019">
        <w:rPr>
          <w:rFonts w:cs="Times New Roman"/>
          <w:sz w:val="24"/>
          <w:szCs w:val="24"/>
          <w:lang w:eastAsia="ja-JP"/>
        </w:rPr>
        <w:t>The G-PCC supports regional scalability and spatial scalability. Regional scalability is the partial access to a region. This can be done with the slice and tile features. Spatial scalability is the access to data with small spatial resolutions. If octree coding is applied to geometry, the point cloud can be decoded with partial resolution as a thumbnail with less complexity and bandwidth. The attribute coding also provides an option to decode the partial resolution harmonized with the geometry. The harmonization allows immediate decoding of the smaller resolution data than the original with both geometry and attribute information present.</w:t>
      </w:r>
    </w:p>
    <w:p w14:paraId="79CE9197" w14:textId="77777777" w:rsidR="00C73B70" w:rsidRPr="003F2019" w:rsidRDefault="00C73B70" w:rsidP="00C73B70">
      <w:pPr>
        <w:pStyle w:val="a5"/>
        <w:widowControl/>
        <w:numPr>
          <w:ilvl w:val="0"/>
          <w:numId w:val="6"/>
        </w:numPr>
        <w:autoSpaceDE/>
        <w:autoSpaceDN/>
        <w:spacing w:before="120" w:after="120"/>
        <w:jc w:val="both"/>
        <w:rPr>
          <w:rFonts w:cs="Times New Roman"/>
          <w:sz w:val="24"/>
          <w:szCs w:val="24"/>
          <w:lang w:eastAsia="ja-JP"/>
        </w:rPr>
      </w:pPr>
      <w:r w:rsidRPr="003F2019">
        <w:rPr>
          <w:rFonts w:cs="Times New Roman"/>
          <w:sz w:val="24"/>
          <w:szCs w:val="24"/>
          <w:lang w:eastAsia="ja-JP"/>
        </w:rPr>
        <w:t>Combined frame coding</w:t>
      </w:r>
    </w:p>
    <w:p w14:paraId="04B43F27" w14:textId="77777777" w:rsidR="00C73B70" w:rsidRPr="003F2019" w:rsidRDefault="00C73B70" w:rsidP="00C73B70">
      <w:pPr>
        <w:widowControl/>
        <w:autoSpaceDE/>
        <w:autoSpaceDN/>
        <w:spacing w:before="120" w:after="120"/>
        <w:jc w:val="both"/>
        <w:rPr>
          <w:rFonts w:eastAsiaTheme="minorEastAsia" w:cs="Times New Roman"/>
          <w:sz w:val="24"/>
          <w:szCs w:val="24"/>
          <w:lang w:eastAsia="ja-JP"/>
        </w:rPr>
      </w:pPr>
      <w:r w:rsidRPr="003F2019">
        <w:rPr>
          <w:rFonts w:cs="Times New Roman"/>
          <w:sz w:val="24"/>
          <w:szCs w:val="24"/>
          <w:lang w:eastAsia="ja-JP"/>
        </w:rPr>
        <w:t>In frame-based point cloud contents, each frame may be relatively smaller in file size which is less efficient for the I/O interface. The overhead of initializing decoder becomes more significant in the edge device. In this regard, combined frame coding technique is proposed to address both issues by introducing the encoding of frame index in the combined Group of Point cloud (GOP). As consecutive point cloud frames are highly correlated, this technique also improves the coding efficiency largely so that it could be also beneficial for storage usage of frame-based point cloud content. The frame indices, which are used in the decoder to reconstruct the input frames, are encoded in the bitstream.</w:t>
      </w:r>
    </w:p>
    <w:p w14:paraId="11E760DC" w14:textId="77777777" w:rsidR="00C73B70" w:rsidRPr="003F2019" w:rsidRDefault="00C73B70" w:rsidP="00C73B70">
      <w:pPr>
        <w:widowControl/>
        <w:autoSpaceDE/>
        <w:autoSpaceDN/>
        <w:spacing w:before="120" w:after="120"/>
        <w:jc w:val="both"/>
        <w:rPr>
          <w:rFonts w:eastAsiaTheme="minorEastAsia" w:cs="Times New Roman"/>
          <w:sz w:val="24"/>
          <w:szCs w:val="24"/>
          <w:lang w:eastAsia="ja-JP"/>
        </w:rPr>
      </w:pPr>
    </w:p>
    <w:p w14:paraId="747B9968" w14:textId="77777777" w:rsidR="00C73B70" w:rsidRPr="003F2019" w:rsidRDefault="00C73B70" w:rsidP="00C73B70">
      <w:pPr>
        <w:widowControl/>
        <w:autoSpaceDE/>
        <w:autoSpaceDN/>
        <w:spacing w:before="120" w:after="120"/>
        <w:jc w:val="both"/>
        <w:rPr>
          <w:rFonts w:eastAsia="맑은 고딕" w:cs="Times New Roman"/>
          <w:b/>
          <w:bCs/>
          <w:sz w:val="32"/>
          <w:szCs w:val="32"/>
          <w:lang w:eastAsia="ko-KR"/>
        </w:rPr>
      </w:pPr>
      <w:r w:rsidRPr="003F2019">
        <w:rPr>
          <w:rFonts w:eastAsia="맑은 고딕" w:cs="Times New Roman"/>
          <w:b/>
          <w:bCs/>
          <w:sz w:val="32"/>
          <w:szCs w:val="32"/>
          <w:lang w:eastAsia="ko-KR"/>
        </w:rPr>
        <w:t>Profiles and levels of the standard</w:t>
      </w:r>
    </w:p>
    <w:p w14:paraId="44B9218B" w14:textId="77777777" w:rsidR="00C73B70" w:rsidRPr="003F2019" w:rsidRDefault="00C73B70" w:rsidP="00C73B70">
      <w:pPr>
        <w:rPr>
          <w:rFonts w:cs="Times New Roman"/>
          <w:sz w:val="24"/>
          <w:szCs w:val="24"/>
        </w:rPr>
      </w:pPr>
      <w:r w:rsidRPr="003F2019">
        <w:rPr>
          <w:rFonts w:cs="Times New Roman"/>
          <w:sz w:val="24"/>
          <w:szCs w:val="24"/>
        </w:rPr>
        <w:t>G-PCC provides four profiles, Simple, Predictive, Dense and Main.</w:t>
      </w:r>
    </w:p>
    <w:p w14:paraId="0D48A798" w14:textId="77777777" w:rsidR="00C73B70" w:rsidRPr="003F2019" w:rsidRDefault="00C73B70" w:rsidP="00C73B70">
      <w:pPr>
        <w:rPr>
          <w:rFonts w:cs="Times New Roman"/>
          <w:sz w:val="24"/>
          <w:szCs w:val="24"/>
        </w:rPr>
      </w:pPr>
      <w:r w:rsidRPr="003F2019">
        <w:rPr>
          <w:rFonts w:eastAsiaTheme="minorEastAsia" w:cs="Times New Roman"/>
          <w:sz w:val="24"/>
          <w:szCs w:val="24"/>
          <w:lang w:eastAsia="ja-JP"/>
        </w:rPr>
        <w:lastRenderedPageBreak/>
        <w:t xml:space="preserve">Simple profile defines the minimum set of the G-PCC coding tools targeting </w:t>
      </w:r>
      <w:r w:rsidRPr="003F2019">
        <w:rPr>
          <w:rFonts w:cs="Times New Roman"/>
          <w:sz w:val="24"/>
          <w:szCs w:val="24"/>
        </w:rPr>
        <w:t xml:space="preserve">on low-complexity scenarios. Main profile targets on the general use case. </w:t>
      </w:r>
    </w:p>
    <w:p w14:paraId="37521A62" w14:textId="77777777" w:rsidR="00C73B70" w:rsidRPr="003F2019" w:rsidRDefault="00C73B70" w:rsidP="00C73B70">
      <w:pPr>
        <w:rPr>
          <w:rFonts w:cs="Times New Roman"/>
          <w:sz w:val="24"/>
          <w:szCs w:val="24"/>
        </w:rPr>
      </w:pPr>
      <w:r w:rsidRPr="003F2019">
        <w:rPr>
          <w:rFonts w:cs="Times New Roman"/>
          <w:sz w:val="24"/>
          <w:szCs w:val="24"/>
        </w:rPr>
        <w:t>Predictive profile is specifically designed for LiDAR applications aiming low-delay scenarios.</w:t>
      </w:r>
    </w:p>
    <w:p w14:paraId="63CAE2DD" w14:textId="77777777" w:rsidR="00C73B70" w:rsidRPr="003F2019" w:rsidRDefault="00C73B70" w:rsidP="00C73B70">
      <w:pPr>
        <w:rPr>
          <w:rFonts w:cs="Times New Roman"/>
          <w:sz w:val="24"/>
          <w:szCs w:val="24"/>
        </w:rPr>
      </w:pPr>
      <w:r w:rsidRPr="003F2019">
        <w:rPr>
          <w:rFonts w:cs="Times New Roman"/>
          <w:sz w:val="24"/>
          <w:szCs w:val="24"/>
        </w:rPr>
        <w:t xml:space="preserve">Dense profile provides better coding performance on dense/solid point cloud content. </w:t>
      </w:r>
    </w:p>
    <w:p w14:paraId="796E1A23" w14:textId="77777777" w:rsidR="00C73B70" w:rsidRPr="003F2019" w:rsidRDefault="00C73B70" w:rsidP="00C73B70">
      <w:pPr>
        <w:rPr>
          <w:rFonts w:eastAsiaTheme="minorEastAsia" w:cs="Times New Roman"/>
          <w:sz w:val="24"/>
          <w:szCs w:val="24"/>
          <w:lang w:eastAsia="ja-JP"/>
        </w:rPr>
      </w:pPr>
      <w:r w:rsidRPr="003F2019">
        <w:rPr>
          <w:rFonts w:eastAsiaTheme="minorEastAsia" w:cs="Times New Roman"/>
          <w:sz w:val="24"/>
          <w:szCs w:val="24"/>
          <w:lang w:eastAsia="ja-JP"/>
        </w:rPr>
        <w:t>Main profile defines general tool sets that allows to customize the coding tool combination for own use cases.</w:t>
      </w:r>
    </w:p>
    <w:p w14:paraId="0FEDB976" w14:textId="77777777" w:rsidR="00C73B70" w:rsidRPr="003F2019" w:rsidRDefault="00C73B70" w:rsidP="00C73B70">
      <w:pPr>
        <w:rPr>
          <w:rFonts w:cs="Times New Roman"/>
          <w:sz w:val="24"/>
          <w:szCs w:val="24"/>
        </w:rPr>
      </w:pPr>
      <w:r w:rsidRPr="003F2019">
        <w:rPr>
          <w:rFonts w:cs="Times New Roman"/>
          <w:sz w:val="24"/>
          <w:szCs w:val="24"/>
        </w:rPr>
        <w:t>For any profile defined above, a level generally corresponds to a particular decoder processing load and memory capability.</w:t>
      </w:r>
    </w:p>
    <w:p w14:paraId="2DF0AA60" w14:textId="77777777" w:rsidR="00C73B70" w:rsidRPr="003F2019" w:rsidRDefault="00C73B70" w:rsidP="00C73B70">
      <w:pPr>
        <w:widowControl/>
        <w:autoSpaceDE/>
        <w:autoSpaceDN/>
        <w:spacing w:before="120" w:after="120"/>
        <w:jc w:val="both"/>
        <w:rPr>
          <w:rFonts w:eastAsia="맑은 고딕" w:cs="Times New Roman"/>
          <w:b/>
          <w:bCs/>
          <w:sz w:val="32"/>
          <w:szCs w:val="32"/>
          <w:lang w:eastAsia="ko-KR"/>
        </w:rPr>
      </w:pPr>
      <w:r w:rsidRPr="003F2019">
        <w:rPr>
          <w:rFonts w:eastAsia="맑은 고딕" w:cs="Times New Roman"/>
          <w:b/>
          <w:bCs/>
          <w:sz w:val="32"/>
          <w:szCs w:val="32"/>
          <w:lang w:eastAsia="ko-KR"/>
        </w:rPr>
        <w:t>G-PCC Performance</w:t>
      </w:r>
    </w:p>
    <w:p w14:paraId="04C4FBCC" w14:textId="77777777" w:rsidR="00C73B70" w:rsidRPr="003F2019" w:rsidRDefault="00C73B70" w:rsidP="00C73B70">
      <w:pPr>
        <w:rPr>
          <w:rFonts w:cs="Times New Roman"/>
          <w:sz w:val="24"/>
          <w:szCs w:val="24"/>
          <w:lang w:eastAsia="ko-KR"/>
        </w:rPr>
      </w:pPr>
      <w:r w:rsidRPr="003F2019">
        <w:rPr>
          <w:rFonts w:cs="Times New Roman"/>
          <w:sz w:val="24"/>
          <w:szCs w:val="24"/>
          <w:lang w:eastAsia="ko-KR"/>
        </w:rPr>
        <w:t xml:space="preserve">The performance of G-PCC is obtained by experiments that are conducted following the G-PCC CTC </w:t>
      </w:r>
      <w:r w:rsidRPr="003F2019">
        <w:rPr>
          <w:rFonts w:cs="Times New Roman"/>
          <w:sz w:val="24"/>
          <w:szCs w:val="24"/>
          <w:lang w:eastAsia="ko-KR"/>
        </w:rPr>
        <w:fldChar w:fldCharType="begin"/>
      </w:r>
      <w:r w:rsidRPr="003F2019">
        <w:rPr>
          <w:rFonts w:cs="Times New Roman"/>
          <w:sz w:val="24"/>
          <w:szCs w:val="24"/>
          <w:lang w:eastAsia="ko-KR"/>
        </w:rPr>
        <w:instrText xml:space="preserve"> REF _Ref124361685 \n \h  \* MERGEFORMAT </w:instrText>
      </w:r>
      <w:r w:rsidRPr="003F2019">
        <w:rPr>
          <w:rFonts w:cs="Times New Roman"/>
          <w:sz w:val="24"/>
          <w:szCs w:val="24"/>
          <w:lang w:eastAsia="ko-KR"/>
        </w:rPr>
      </w:r>
      <w:r w:rsidRPr="003F2019">
        <w:rPr>
          <w:rFonts w:cs="Times New Roman"/>
          <w:sz w:val="24"/>
          <w:szCs w:val="24"/>
          <w:lang w:eastAsia="ko-KR"/>
        </w:rPr>
        <w:fldChar w:fldCharType="separate"/>
      </w:r>
      <w:r w:rsidRPr="003F2019">
        <w:rPr>
          <w:rFonts w:cs="Times New Roman"/>
          <w:sz w:val="24"/>
          <w:szCs w:val="24"/>
          <w:lang w:eastAsia="ko-KR"/>
        </w:rPr>
        <w:t>[5]</w:t>
      </w:r>
      <w:r w:rsidRPr="003F2019">
        <w:rPr>
          <w:rFonts w:cs="Times New Roman"/>
          <w:sz w:val="24"/>
          <w:szCs w:val="24"/>
          <w:lang w:eastAsia="ko-KR"/>
        </w:rPr>
        <w:fldChar w:fldCharType="end"/>
      </w:r>
      <w:r w:rsidRPr="003F2019">
        <w:rPr>
          <w:rFonts w:cs="Times New Roman"/>
          <w:sz w:val="24"/>
          <w:szCs w:val="24"/>
          <w:lang w:eastAsia="ko-KR"/>
        </w:rPr>
        <w:t xml:space="preserve">. Four test conditions are defined, including C1 as lossless geometry lossy attributes coding, C2 as near-lossless geometry lossy attributes coding, CW as lossless geometry lossless attributes coding, and CY as lossless geometry near-lossless attributes coding. For clarity, near-lossless implies a bounded error rather than the magnitude of the error. </w:t>
      </w:r>
    </w:p>
    <w:p w14:paraId="13FC6933" w14:textId="77777777" w:rsidR="00C73B70" w:rsidRPr="003F2019" w:rsidRDefault="00C73B70" w:rsidP="00C73B70">
      <w:pPr>
        <w:rPr>
          <w:rFonts w:eastAsia="맑은 고딕" w:cs="Times New Roman"/>
          <w:sz w:val="24"/>
          <w:szCs w:val="24"/>
          <w:lang w:eastAsia="ko-KR"/>
        </w:rPr>
      </w:pPr>
      <w:r w:rsidRPr="003F2019">
        <w:rPr>
          <w:rFonts w:cs="Times New Roman"/>
          <w:sz w:val="24"/>
          <w:szCs w:val="24"/>
          <w:lang w:eastAsia="ko-KR"/>
        </w:rPr>
        <w:t>As for the test dataset, variety of the contents are evaluated including, human models, buildings, objects, landscapes and LiDAR acquired data. The dataset is categories into six types, Solid, Dense, Sparse, Scant, Automotive-frame, and Automotive-fused respectively depending on the content density or capturing method.</w:t>
      </w:r>
    </w:p>
    <w:p w14:paraId="555C83D2" w14:textId="77777777" w:rsidR="00C73B70" w:rsidRPr="003F2019" w:rsidRDefault="00C73B70" w:rsidP="00C73B70">
      <w:pPr>
        <w:rPr>
          <w:rFonts w:cs="Times New Roman"/>
          <w:sz w:val="24"/>
          <w:szCs w:val="24"/>
          <w:lang w:eastAsia="ko-KR"/>
        </w:rPr>
      </w:pPr>
      <w:r w:rsidRPr="003F2019">
        <w:rPr>
          <w:rFonts w:cs="Times New Roman"/>
          <w:sz w:val="24"/>
          <w:szCs w:val="24"/>
          <w:lang w:eastAsia="ko-KR"/>
        </w:rPr>
        <w:t>The evaluation was made based on the rate-distortion (RD) performance. Bitrates are reported as bits per input point (</w:t>
      </w:r>
      <w:proofErr w:type="spellStart"/>
      <w:r w:rsidRPr="003F2019">
        <w:rPr>
          <w:rFonts w:cs="Times New Roman"/>
          <w:sz w:val="24"/>
          <w:szCs w:val="24"/>
          <w:lang w:eastAsia="ko-KR"/>
        </w:rPr>
        <w:t>bpp</w:t>
      </w:r>
      <w:proofErr w:type="spellEnd"/>
      <w:r w:rsidRPr="003F2019">
        <w:rPr>
          <w:rFonts w:cs="Times New Roman"/>
          <w:sz w:val="24"/>
          <w:szCs w:val="24"/>
          <w:lang w:eastAsia="ko-KR"/>
        </w:rPr>
        <w:t xml:space="preserve">). For lossy compression, the geometry distortion is measured by the point-to-point (D1) and point-to-plane (D2) metrics. The color distortion is measured by PSNR for each </w:t>
      </w:r>
      <w:proofErr w:type="spellStart"/>
      <w:proofErr w:type="gramStart"/>
      <w:r w:rsidRPr="003F2019">
        <w:rPr>
          <w:rFonts w:cs="Times New Roman"/>
          <w:sz w:val="24"/>
          <w:szCs w:val="24"/>
          <w:lang w:eastAsia="ko-KR"/>
        </w:rPr>
        <w:t>channel:Y</w:t>
      </w:r>
      <w:proofErr w:type="spellEnd"/>
      <w:proofErr w:type="gramEnd"/>
      <w:r w:rsidRPr="003F2019">
        <w:rPr>
          <w:rFonts w:cs="Times New Roman"/>
          <w:sz w:val="24"/>
          <w:szCs w:val="24"/>
          <w:lang w:eastAsia="ko-KR"/>
        </w:rPr>
        <w:t xml:space="preserve"> (Luma), </w:t>
      </w:r>
      <w:proofErr w:type="spellStart"/>
      <w:r w:rsidRPr="003F2019">
        <w:rPr>
          <w:rFonts w:cs="Times New Roman"/>
          <w:sz w:val="24"/>
          <w:szCs w:val="24"/>
          <w:lang w:eastAsia="ko-KR"/>
        </w:rPr>
        <w:t>Cb</w:t>
      </w:r>
      <w:proofErr w:type="spellEnd"/>
      <w:r w:rsidRPr="003F2019">
        <w:rPr>
          <w:rFonts w:cs="Times New Roman"/>
          <w:sz w:val="24"/>
          <w:szCs w:val="24"/>
          <w:lang w:eastAsia="ko-KR"/>
        </w:rPr>
        <w:t>, and Cr (Chroma). The reflectance distortion is also computed by PSNR but only for a single channel.</w:t>
      </w:r>
    </w:p>
    <w:p w14:paraId="5939F544" w14:textId="77777777" w:rsidR="00C73B70" w:rsidRPr="003F2019" w:rsidRDefault="00C73B70" w:rsidP="00C73B70">
      <w:pPr>
        <w:rPr>
          <w:rFonts w:cs="Times New Roman"/>
          <w:sz w:val="24"/>
          <w:szCs w:val="24"/>
          <w:lang w:eastAsia="ko-KR"/>
        </w:rPr>
      </w:pPr>
      <w:r w:rsidRPr="003F2019">
        <w:rPr>
          <w:rFonts w:cs="Times New Roman"/>
          <w:sz w:val="24"/>
          <w:szCs w:val="24"/>
          <w:lang w:eastAsia="ko-KR"/>
        </w:rPr>
        <w:t>To reflect the progress of G-PCC standardization activities, the current test model (i.e., TMC13v12) is compared to its early version (i.e., TMC13v3 released in 2018) and midterm version (i.e., TMC13v6 released in 2019). More specifically, TMC13v6 and TMC13v12 are benchmarked taking TMC13v3 as the anchor. It is noted that TMC13v1 is not chosen as the baseline since at that time a lot of tools in the model were immature to make a formative comparison.</w:t>
      </w:r>
    </w:p>
    <w:p w14:paraId="1F8313B6" w14:textId="77777777" w:rsidR="00C73B70" w:rsidRPr="003F2019" w:rsidRDefault="00C73B70" w:rsidP="00C73B70">
      <w:pPr>
        <w:rPr>
          <w:rFonts w:eastAsia="맑은 고딕" w:cs="Times New Roman"/>
          <w:sz w:val="24"/>
          <w:szCs w:val="24"/>
          <w:lang w:eastAsia="ko-KR"/>
        </w:rPr>
      </w:pPr>
    </w:p>
    <w:p w14:paraId="0297F713" w14:textId="77777777" w:rsidR="00C73B70" w:rsidRPr="003F2019" w:rsidRDefault="00C73B70" w:rsidP="00C73B70">
      <w:pPr>
        <w:keepNext/>
      </w:pPr>
      <w:r w:rsidRPr="003F2019">
        <w:rPr>
          <w:rFonts w:eastAsia="맑은 고딕" w:cs="Times New Roman"/>
          <w:noProof/>
          <w:lang w:eastAsia="ko-KR"/>
        </w:rPr>
        <w:drawing>
          <wp:inline distT="0" distB="0" distL="0" distR="0" wp14:anchorId="47404595" wp14:editId="07BA4E55">
            <wp:extent cx="5727700" cy="1548765"/>
            <wp:effectExtent l="0" t="0" r="6350" b="0"/>
            <wp:docPr id="982" name="図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27700" cy="1548765"/>
                    </a:xfrm>
                    <a:prstGeom prst="rect">
                      <a:avLst/>
                    </a:prstGeom>
                  </pic:spPr>
                </pic:pic>
              </a:graphicData>
            </a:graphic>
          </wp:inline>
        </w:drawing>
      </w:r>
    </w:p>
    <w:p w14:paraId="1AEE5218" w14:textId="77777777" w:rsidR="00C73B70" w:rsidRPr="003F2019" w:rsidRDefault="00C73B70" w:rsidP="00C73B70">
      <w:pPr>
        <w:pStyle w:val="ad"/>
        <w:jc w:val="center"/>
      </w:pPr>
      <w:r w:rsidRPr="003F2019">
        <w:t xml:space="preserve">Figure </w:t>
      </w:r>
      <w:fldSimple w:instr=" SEQ Figure \* ARABIC ">
        <w:r w:rsidRPr="003F2019">
          <w:t>3</w:t>
        </w:r>
      </w:fldSimple>
      <w:r w:rsidRPr="003F2019">
        <w:t xml:space="preserve"> G-PCC geometry coding performance examples</w:t>
      </w:r>
    </w:p>
    <w:p w14:paraId="43D0336B" w14:textId="77777777" w:rsidR="00C73B70" w:rsidRPr="003F2019" w:rsidRDefault="00C73B70" w:rsidP="00C73B70">
      <w:pPr>
        <w:keepNext/>
      </w:pPr>
      <w:r w:rsidRPr="003F2019">
        <w:rPr>
          <w:noProof/>
        </w:rPr>
        <w:drawing>
          <wp:inline distT="0" distB="0" distL="0" distR="0" wp14:anchorId="115BC742" wp14:editId="08F7E12F">
            <wp:extent cx="5727700" cy="2785745"/>
            <wp:effectExtent l="0" t="0" r="6350" b="0"/>
            <wp:docPr id="983" name="図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27700" cy="2785745"/>
                    </a:xfrm>
                    <a:prstGeom prst="rect">
                      <a:avLst/>
                    </a:prstGeom>
                  </pic:spPr>
                </pic:pic>
              </a:graphicData>
            </a:graphic>
          </wp:inline>
        </w:drawing>
      </w:r>
    </w:p>
    <w:p w14:paraId="25517267" w14:textId="77777777" w:rsidR="00C73B70" w:rsidRPr="003F2019" w:rsidRDefault="00C73B70" w:rsidP="00C73B70">
      <w:pPr>
        <w:pStyle w:val="ad"/>
        <w:jc w:val="center"/>
      </w:pPr>
      <w:r w:rsidRPr="003F2019">
        <w:t xml:space="preserve">Figure </w:t>
      </w:r>
      <w:fldSimple w:instr=" SEQ Figure \* ARABIC ">
        <w:r w:rsidRPr="003F2019">
          <w:t>4</w:t>
        </w:r>
      </w:fldSimple>
      <w:r w:rsidRPr="003F2019">
        <w:t xml:space="preserve"> G-PCC attribute coding performance examples</w:t>
      </w:r>
    </w:p>
    <w:p w14:paraId="409EADCA" w14:textId="77777777" w:rsidR="00C73B70" w:rsidRPr="003F2019" w:rsidRDefault="00C73B70" w:rsidP="00C73B70">
      <w:pPr>
        <w:rPr>
          <w:rFonts w:cs="Times New Roman"/>
          <w:sz w:val="24"/>
          <w:szCs w:val="24"/>
          <w:lang w:eastAsia="ko-KR"/>
        </w:rPr>
      </w:pPr>
      <w:r w:rsidRPr="003F2019">
        <w:rPr>
          <w:rFonts w:cs="Times New Roman"/>
          <w:sz w:val="24"/>
          <w:szCs w:val="24"/>
          <w:lang w:eastAsia="ko-KR"/>
        </w:rPr>
        <w:lastRenderedPageBreak/>
        <w:t xml:space="preserve">To benchmark G-PCC with existing point cloud compression schemes, Draco </w:t>
      </w:r>
      <w:r w:rsidRPr="003F2019">
        <w:rPr>
          <w:rFonts w:cs="Times New Roman"/>
          <w:sz w:val="24"/>
          <w:szCs w:val="24"/>
          <w:lang w:eastAsia="ko-KR"/>
        </w:rPr>
        <w:fldChar w:fldCharType="begin"/>
      </w:r>
      <w:r w:rsidRPr="003F2019">
        <w:rPr>
          <w:rFonts w:cs="Times New Roman"/>
          <w:sz w:val="24"/>
          <w:szCs w:val="24"/>
          <w:lang w:eastAsia="ko-KR"/>
        </w:rPr>
        <w:instrText xml:space="preserve"> REF _Ref124361438 \n \h  \* MERGEFORMAT </w:instrText>
      </w:r>
      <w:r w:rsidRPr="003F2019">
        <w:rPr>
          <w:rFonts w:cs="Times New Roman"/>
          <w:sz w:val="24"/>
          <w:szCs w:val="24"/>
          <w:lang w:eastAsia="ko-KR"/>
        </w:rPr>
      </w:r>
      <w:r w:rsidRPr="003F2019">
        <w:rPr>
          <w:rFonts w:cs="Times New Roman"/>
          <w:sz w:val="24"/>
          <w:szCs w:val="24"/>
          <w:lang w:eastAsia="ko-KR"/>
        </w:rPr>
        <w:fldChar w:fldCharType="separate"/>
      </w:r>
      <w:r w:rsidRPr="003F2019">
        <w:rPr>
          <w:rFonts w:cs="Times New Roman"/>
          <w:sz w:val="24"/>
          <w:szCs w:val="24"/>
          <w:lang w:eastAsia="ko-KR"/>
        </w:rPr>
        <w:t>[8]</w:t>
      </w:r>
      <w:r w:rsidRPr="003F2019">
        <w:rPr>
          <w:rFonts w:cs="Times New Roman"/>
          <w:sz w:val="24"/>
          <w:szCs w:val="24"/>
          <w:lang w:eastAsia="ko-KR"/>
        </w:rPr>
        <w:fldChar w:fldCharType="end"/>
      </w:r>
      <w:r w:rsidRPr="003F2019">
        <w:rPr>
          <w:rFonts w:cs="Times New Roman"/>
          <w:sz w:val="24"/>
          <w:szCs w:val="24"/>
          <w:lang w:eastAsia="ko-KR"/>
        </w:rPr>
        <w:t xml:space="preserve">, an open-source library for com- pressing 3D meshes and point cloud is used for comparison. To make a fair comparison, special cares are required in correctly configuring the Draco codec. Specifically, in order to properly </w:t>
      </w:r>
      <w:proofErr w:type="spellStart"/>
      <w:r w:rsidRPr="003F2019">
        <w:rPr>
          <w:rFonts w:cs="Times New Roman"/>
          <w:sz w:val="24"/>
          <w:szCs w:val="24"/>
          <w:lang w:eastAsia="ko-KR"/>
        </w:rPr>
        <w:t>analyse</w:t>
      </w:r>
      <w:proofErr w:type="spellEnd"/>
      <w:r w:rsidRPr="003F2019">
        <w:rPr>
          <w:rFonts w:cs="Times New Roman"/>
          <w:sz w:val="24"/>
          <w:szCs w:val="24"/>
          <w:lang w:eastAsia="ko-KR"/>
        </w:rPr>
        <w:t xml:space="preserve"> the geometry coding performance, the Draco software is modified to strip </w:t>
      </w:r>
      <w:proofErr w:type="spellStart"/>
      <w:r w:rsidRPr="003F2019">
        <w:rPr>
          <w:rFonts w:cs="Times New Roman"/>
          <w:sz w:val="24"/>
          <w:szCs w:val="24"/>
          <w:lang w:eastAsia="ko-KR"/>
        </w:rPr>
        <w:t>colour</w:t>
      </w:r>
      <w:proofErr w:type="spellEnd"/>
      <w:r w:rsidRPr="003F2019">
        <w:rPr>
          <w:rFonts w:cs="Times New Roman"/>
          <w:sz w:val="24"/>
          <w:szCs w:val="24"/>
          <w:lang w:eastAsia="ko-KR"/>
        </w:rPr>
        <w:t xml:space="preserve"> attributes from input points. Two encode/decode passes are used for non-position attributes: the first codes geometry only, the second codes geometry plus the desired attribute. The difference in compressed sizes is used as an estimate of the bits required to code the given attribute. In order to evaluate the performance of the codec at different scales as per the G-PCC CTC, external pre- and post-processing stages are used to quantize the point cloud, permitting a direct comparison with G-PCC.</w:t>
      </w:r>
    </w:p>
    <w:p w14:paraId="227DE617" w14:textId="77777777" w:rsidR="00C73B70" w:rsidRPr="003F2019" w:rsidRDefault="00C73B70" w:rsidP="00C73B70">
      <w:pPr>
        <w:rPr>
          <w:rFonts w:cs="Times New Roman"/>
          <w:sz w:val="24"/>
          <w:szCs w:val="24"/>
          <w:lang w:eastAsia="ko-KR"/>
        </w:rPr>
      </w:pPr>
      <w:r w:rsidRPr="003F2019">
        <w:rPr>
          <w:rFonts w:cs="Times New Roman"/>
          <w:sz w:val="24"/>
          <w:szCs w:val="24"/>
          <w:lang w:eastAsia="ko-KR"/>
        </w:rPr>
        <w:fldChar w:fldCharType="begin"/>
      </w:r>
      <w:r w:rsidRPr="003F2019">
        <w:rPr>
          <w:rFonts w:cs="Times New Roman"/>
          <w:sz w:val="24"/>
          <w:szCs w:val="24"/>
          <w:lang w:eastAsia="ko-KR"/>
        </w:rPr>
        <w:instrText xml:space="preserve"> REF _Ref124361527 \h  \* MERGEFORMAT </w:instrText>
      </w:r>
      <w:r w:rsidRPr="003F2019">
        <w:rPr>
          <w:rFonts w:cs="Times New Roman"/>
          <w:sz w:val="24"/>
          <w:szCs w:val="24"/>
          <w:lang w:eastAsia="ko-KR"/>
        </w:rPr>
      </w:r>
      <w:r w:rsidRPr="003F2019">
        <w:rPr>
          <w:rFonts w:cs="Times New Roman"/>
          <w:sz w:val="24"/>
          <w:szCs w:val="24"/>
          <w:lang w:eastAsia="ko-KR"/>
        </w:rPr>
        <w:fldChar w:fldCharType="separate"/>
      </w:r>
      <w:r w:rsidRPr="003F2019">
        <w:rPr>
          <w:sz w:val="24"/>
          <w:szCs w:val="24"/>
        </w:rPr>
        <w:t>Table 1</w:t>
      </w:r>
      <w:r w:rsidRPr="003F2019">
        <w:rPr>
          <w:rFonts w:cs="Times New Roman"/>
          <w:sz w:val="24"/>
          <w:szCs w:val="24"/>
          <w:lang w:eastAsia="ko-KR"/>
        </w:rPr>
        <w:fldChar w:fldCharType="end"/>
      </w:r>
      <w:r w:rsidRPr="003F2019">
        <w:rPr>
          <w:rFonts w:cs="Times New Roman"/>
          <w:sz w:val="24"/>
          <w:szCs w:val="24"/>
          <w:lang w:eastAsia="ko-KR"/>
        </w:rPr>
        <w:t xml:space="preserve"> and </w:t>
      </w:r>
      <w:r w:rsidRPr="003F2019">
        <w:rPr>
          <w:rFonts w:cs="Times New Roman"/>
          <w:sz w:val="24"/>
          <w:szCs w:val="24"/>
          <w:lang w:eastAsia="ko-KR"/>
        </w:rPr>
        <w:fldChar w:fldCharType="begin"/>
      </w:r>
      <w:r w:rsidRPr="003F2019">
        <w:rPr>
          <w:rFonts w:cs="Times New Roman"/>
          <w:sz w:val="24"/>
          <w:szCs w:val="24"/>
          <w:lang w:eastAsia="ko-KR"/>
        </w:rPr>
        <w:instrText xml:space="preserve"> REF _Ref124361531 \h  \* MERGEFORMAT </w:instrText>
      </w:r>
      <w:r w:rsidRPr="003F2019">
        <w:rPr>
          <w:rFonts w:cs="Times New Roman"/>
          <w:sz w:val="24"/>
          <w:szCs w:val="24"/>
          <w:lang w:eastAsia="ko-KR"/>
        </w:rPr>
      </w:r>
      <w:r w:rsidRPr="003F2019">
        <w:rPr>
          <w:rFonts w:cs="Times New Roman"/>
          <w:sz w:val="24"/>
          <w:szCs w:val="24"/>
          <w:lang w:eastAsia="ko-KR"/>
        </w:rPr>
        <w:fldChar w:fldCharType="separate"/>
      </w:r>
      <w:r w:rsidRPr="003F2019">
        <w:rPr>
          <w:sz w:val="24"/>
          <w:szCs w:val="24"/>
        </w:rPr>
        <w:t>Table 2</w:t>
      </w:r>
      <w:r w:rsidRPr="003F2019">
        <w:rPr>
          <w:rFonts w:cs="Times New Roman"/>
          <w:sz w:val="24"/>
          <w:szCs w:val="24"/>
          <w:lang w:eastAsia="ko-KR"/>
        </w:rPr>
        <w:fldChar w:fldCharType="end"/>
      </w:r>
      <w:r w:rsidRPr="003F2019">
        <w:rPr>
          <w:rFonts w:cs="Times New Roman"/>
          <w:sz w:val="24"/>
          <w:szCs w:val="24"/>
          <w:lang w:eastAsia="ko-KR"/>
        </w:rPr>
        <w:t xml:space="preserve"> compares Draco and G-PCC in lossy and lossless conditions respectively. As for G-PCC, TMC13v12 is configured as per the G-PCC CTC used to generate the anchor results. Note that predictive geometry coding is performed for Cat3-frame data while octree geometry coding is performed for the rest categories. </w:t>
      </w:r>
    </w:p>
    <w:tbl>
      <w:tblPr>
        <w:tblStyle w:val="TableNormal"/>
        <w:tblW w:w="0" w:type="auto"/>
        <w:jc w:val="center"/>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1150"/>
        <w:gridCol w:w="1489"/>
        <w:gridCol w:w="1485"/>
      </w:tblGrid>
      <w:tr w:rsidR="00C73B70" w:rsidRPr="003F2019" w14:paraId="1166CBA6" w14:textId="77777777" w:rsidTr="00121552">
        <w:trPr>
          <w:trHeight w:val="262"/>
          <w:jc w:val="center"/>
        </w:trPr>
        <w:tc>
          <w:tcPr>
            <w:tcW w:w="1150" w:type="dxa"/>
            <w:tcBorders>
              <w:left w:val="nil"/>
              <w:bottom w:val="single" w:sz="4" w:space="0" w:color="000000"/>
              <w:right w:val="single" w:sz="4" w:space="0" w:color="000000"/>
            </w:tcBorders>
          </w:tcPr>
          <w:p w14:paraId="52F0D3AD" w14:textId="77777777" w:rsidR="00C73B70" w:rsidRPr="003F2019" w:rsidRDefault="00C73B70" w:rsidP="00121552">
            <w:pPr>
              <w:pStyle w:val="TableParagraph"/>
              <w:rPr>
                <w:sz w:val="18"/>
              </w:rPr>
            </w:pPr>
          </w:p>
        </w:tc>
        <w:tc>
          <w:tcPr>
            <w:tcW w:w="2974" w:type="dxa"/>
            <w:gridSpan w:val="2"/>
            <w:tcBorders>
              <w:left w:val="single" w:sz="4" w:space="0" w:color="000000"/>
              <w:bottom w:val="single" w:sz="4" w:space="0" w:color="000000"/>
              <w:right w:val="nil"/>
            </w:tcBorders>
          </w:tcPr>
          <w:p w14:paraId="7BF56D15" w14:textId="77777777" w:rsidR="00C73B70" w:rsidRPr="003F2019" w:rsidRDefault="00C73B70" w:rsidP="00121552">
            <w:pPr>
              <w:pStyle w:val="TableParagraph"/>
              <w:spacing w:before="2"/>
              <w:ind w:left="315"/>
              <w:rPr>
                <w:sz w:val="20"/>
              </w:rPr>
            </w:pPr>
            <w:r w:rsidRPr="003F2019">
              <w:rPr>
                <w:sz w:val="20"/>
              </w:rPr>
              <w:t>Draco</w:t>
            </w:r>
            <w:r w:rsidRPr="003F2019">
              <w:rPr>
                <w:spacing w:val="16"/>
                <w:sz w:val="20"/>
              </w:rPr>
              <w:t xml:space="preserve"> </w:t>
            </w:r>
            <w:r w:rsidRPr="003F2019">
              <w:rPr>
                <w:sz w:val="20"/>
              </w:rPr>
              <w:t>1.3.5-7</w:t>
            </w:r>
            <w:r w:rsidRPr="003F2019">
              <w:rPr>
                <w:spacing w:val="16"/>
                <w:sz w:val="20"/>
              </w:rPr>
              <w:t xml:space="preserve"> </w:t>
            </w:r>
            <w:proofErr w:type="gramStart"/>
            <w:r w:rsidRPr="003F2019">
              <w:rPr>
                <w:sz w:val="20"/>
              </w:rPr>
              <w:t>vs.TMC</w:t>
            </w:r>
            <w:proofErr w:type="gramEnd"/>
            <w:r w:rsidRPr="003F2019">
              <w:rPr>
                <w:sz w:val="20"/>
              </w:rPr>
              <w:t>13v12</w:t>
            </w:r>
          </w:p>
        </w:tc>
      </w:tr>
      <w:tr w:rsidR="00C73B70" w:rsidRPr="003F2019" w14:paraId="5D264A18" w14:textId="77777777" w:rsidTr="00121552">
        <w:trPr>
          <w:trHeight w:val="249"/>
          <w:jc w:val="center"/>
        </w:trPr>
        <w:tc>
          <w:tcPr>
            <w:tcW w:w="1150" w:type="dxa"/>
            <w:tcBorders>
              <w:top w:val="single" w:sz="4" w:space="0" w:color="000000"/>
              <w:left w:val="nil"/>
              <w:bottom w:val="single" w:sz="4" w:space="0" w:color="000000"/>
              <w:right w:val="single" w:sz="4" w:space="0" w:color="000000"/>
            </w:tcBorders>
          </w:tcPr>
          <w:p w14:paraId="2F9F4D16" w14:textId="77777777" w:rsidR="00C73B70" w:rsidRPr="003F2019" w:rsidRDefault="00C73B70" w:rsidP="00121552">
            <w:pPr>
              <w:pStyle w:val="TableParagraph"/>
              <w:rPr>
                <w:sz w:val="18"/>
              </w:rPr>
            </w:pPr>
          </w:p>
        </w:tc>
        <w:tc>
          <w:tcPr>
            <w:tcW w:w="1489" w:type="dxa"/>
            <w:tcBorders>
              <w:top w:val="single" w:sz="4" w:space="0" w:color="000000"/>
              <w:left w:val="single" w:sz="4" w:space="0" w:color="000000"/>
              <w:bottom w:val="single" w:sz="4" w:space="0" w:color="000000"/>
              <w:right w:val="single" w:sz="4" w:space="0" w:color="000000"/>
            </w:tcBorders>
          </w:tcPr>
          <w:p w14:paraId="0D5D1E29" w14:textId="77777777" w:rsidR="00C73B70" w:rsidRPr="003F2019" w:rsidRDefault="00C73B70" w:rsidP="00121552">
            <w:pPr>
              <w:pStyle w:val="TableParagraph"/>
              <w:spacing w:line="218" w:lineRule="exact"/>
              <w:ind w:left="102" w:right="93"/>
              <w:rPr>
                <w:sz w:val="20"/>
              </w:rPr>
            </w:pPr>
            <w:r w:rsidRPr="003F2019">
              <w:rPr>
                <w:sz w:val="20"/>
              </w:rPr>
              <w:t>Geometry</w:t>
            </w:r>
            <w:r w:rsidRPr="003F2019">
              <w:rPr>
                <w:spacing w:val="16"/>
                <w:sz w:val="20"/>
              </w:rPr>
              <w:t xml:space="preserve"> </w:t>
            </w:r>
            <w:r w:rsidRPr="003F2019">
              <w:rPr>
                <w:sz w:val="20"/>
              </w:rPr>
              <w:t>(D1)</w:t>
            </w:r>
          </w:p>
        </w:tc>
        <w:tc>
          <w:tcPr>
            <w:tcW w:w="1485" w:type="dxa"/>
            <w:tcBorders>
              <w:top w:val="single" w:sz="4" w:space="0" w:color="000000"/>
              <w:left w:val="single" w:sz="4" w:space="0" w:color="000000"/>
              <w:bottom w:val="single" w:sz="4" w:space="0" w:color="000000"/>
              <w:right w:val="nil"/>
            </w:tcBorders>
          </w:tcPr>
          <w:p w14:paraId="485AC437" w14:textId="77777777" w:rsidR="00C73B70" w:rsidRPr="003F2019" w:rsidRDefault="00C73B70" w:rsidP="00121552">
            <w:pPr>
              <w:pStyle w:val="TableParagraph"/>
              <w:spacing w:line="218" w:lineRule="exact"/>
              <w:ind w:left="103" w:right="93"/>
              <w:rPr>
                <w:sz w:val="20"/>
              </w:rPr>
            </w:pPr>
            <w:r w:rsidRPr="003F2019">
              <w:rPr>
                <w:sz w:val="20"/>
              </w:rPr>
              <w:t>Geometry</w:t>
            </w:r>
            <w:r w:rsidRPr="003F2019">
              <w:rPr>
                <w:spacing w:val="16"/>
                <w:sz w:val="20"/>
              </w:rPr>
              <w:t xml:space="preserve"> </w:t>
            </w:r>
            <w:r w:rsidRPr="003F2019">
              <w:rPr>
                <w:sz w:val="20"/>
              </w:rPr>
              <w:t>(D2)</w:t>
            </w:r>
          </w:p>
        </w:tc>
      </w:tr>
      <w:tr w:rsidR="00C73B70" w:rsidRPr="003F2019" w14:paraId="0FE659A9" w14:textId="77777777" w:rsidTr="00121552">
        <w:trPr>
          <w:trHeight w:val="249"/>
          <w:jc w:val="center"/>
        </w:trPr>
        <w:tc>
          <w:tcPr>
            <w:tcW w:w="1150" w:type="dxa"/>
            <w:tcBorders>
              <w:top w:val="single" w:sz="4" w:space="0" w:color="000000"/>
              <w:left w:val="nil"/>
              <w:bottom w:val="single" w:sz="4" w:space="0" w:color="000000"/>
              <w:right w:val="single" w:sz="4" w:space="0" w:color="000000"/>
            </w:tcBorders>
          </w:tcPr>
          <w:p w14:paraId="20F56BF0" w14:textId="77777777" w:rsidR="00C73B70" w:rsidRPr="003F2019" w:rsidRDefault="00C73B70" w:rsidP="00121552">
            <w:pPr>
              <w:pStyle w:val="TableParagraph"/>
              <w:spacing w:line="218" w:lineRule="exact"/>
              <w:ind w:left="101" w:right="92"/>
              <w:rPr>
                <w:sz w:val="20"/>
              </w:rPr>
            </w:pPr>
            <w:r w:rsidRPr="003F2019">
              <w:rPr>
                <w:sz w:val="20"/>
              </w:rPr>
              <w:t>Cat1-A</w:t>
            </w:r>
          </w:p>
        </w:tc>
        <w:tc>
          <w:tcPr>
            <w:tcW w:w="1489" w:type="dxa"/>
            <w:tcBorders>
              <w:top w:val="single" w:sz="4" w:space="0" w:color="000000"/>
              <w:left w:val="single" w:sz="4" w:space="0" w:color="000000"/>
              <w:bottom w:val="single" w:sz="4" w:space="0" w:color="000000"/>
              <w:right w:val="single" w:sz="4" w:space="0" w:color="000000"/>
            </w:tcBorders>
          </w:tcPr>
          <w:p w14:paraId="023A9B47" w14:textId="77777777" w:rsidR="00C73B70" w:rsidRPr="003F2019" w:rsidRDefault="00C73B70" w:rsidP="00121552">
            <w:pPr>
              <w:pStyle w:val="TableParagraph"/>
              <w:spacing w:line="218" w:lineRule="exact"/>
              <w:ind w:left="102" w:right="93"/>
              <w:rPr>
                <w:sz w:val="20"/>
              </w:rPr>
            </w:pPr>
            <w:r w:rsidRPr="003F2019">
              <w:rPr>
                <w:sz w:val="20"/>
              </w:rPr>
              <w:t>-63.8%</w:t>
            </w:r>
          </w:p>
        </w:tc>
        <w:tc>
          <w:tcPr>
            <w:tcW w:w="1485" w:type="dxa"/>
            <w:tcBorders>
              <w:top w:val="single" w:sz="4" w:space="0" w:color="000000"/>
              <w:left w:val="single" w:sz="4" w:space="0" w:color="000000"/>
              <w:bottom w:val="single" w:sz="4" w:space="0" w:color="000000"/>
              <w:right w:val="nil"/>
            </w:tcBorders>
          </w:tcPr>
          <w:p w14:paraId="1D63920A" w14:textId="77777777" w:rsidR="00C73B70" w:rsidRPr="003F2019" w:rsidRDefault="00C73B70" w:rsidP="00121552">
            <w:pPr>
              <w:pStyle w:val="TableParagraph"/>
              <w:spacing w:line="218" w:lineRule="exact"/>
              <w:ind w:left="103" w:right="93"/>
              <w:rPr>
                <w:sz w:val="20"/>
              </w:rPr>
            </w:pPr>
            <w:r w:rsidRPr="003F2019">
              <w:rPr>
                <w:sz w:val="20"/>
              </w:rPr>
              <w:t>-64.0%</w:t>
            </w:r>
          </w:p>
        </w:tc>
      </w:tr>
      <w:tr w:rsidR="00C73B70" w:rsidRPr="003F2019" w14:paraId="61472C64" w14:textId="77777777" w:rsidTr="00121552">
        <w:trPr>
          <w:trHeight w:val="249"/>
          <w:jc w:val="center"/>
        </w:trPr>
        <w:tc>
          <w:tcPr>
            <w:tcW w:w="1150" w:type="dxa"/>
            <w:tcBorders>
              <w:top w:val="single" w:sz="4" w:space="0" w:color="000000"/>
              <w:left w:val="nil"/>
              <w:bottom w:val="single" w:sz="4" w:space="0" w:color="000000"/>
              <w:right w:val="single" w:sz="4" w:space="0" w:color="000000"/>
            </w:tcBorders>
          </w:tcPr>
          <w:p w14:paraId="130A7294" w14:textId="77777777" w:rsidR="00C73B70" w:rsidRPr="003F2019" w:rsidRDefault="00C73B70" w:rsidP="00121552">
            <w:pPr>
              <w:pStyle w:val="TableParagraph"/>
              <w:spacing w:line="218" w:lineRule="exact"/>
              <w:ind w:left="101" w:right="92"/>
              <w:rPr>
                <w:sz w:val="20"/>
              </w:rPr>
            </w:pPr>
            <w:r w:rsidRPr="003F2019">
              <w:rPr>
                <w:sz w:val="20"/>
              </w:rPr>
              <w:t>Cat1-B</w:t>
            </w:r>
          </w:p>
        </w:tc>
        <w:tc>
          <w:tcPr>
            <w:tcW w:w="1489" w:type="dxa"/>
            <w:tcBorders>
              <w:top w:val="single" w:sz="4" w:space="0" w:color="000000"/>
              <w:left w:val="single" w:sz="4" w:space="0" w:color="000000"/>
              <w:bottom w:val="single" w:sz="4" w:space="0" w:color="000000"/>
              <w:right w:val="single" w:sz="4" w:space="0" w:color="000000"/>
            </w:tcBorders>
          </w:tcPr>
          <w:p w14:paraId="12DA4480" w14:textId="77777777" w:rsidR="00C73B70" w:rsidRPr="003F2019" w:rsidRDefault="00C73B70" w:rsidP="00121552">
            <w:pPr>
              <w:pStyle w:val="TableParagraph"/>
              <w:spacing w:line="218" w:lineRule="exact"/>
              <w:ind w:left="102" w:right="93"/>
              <w:rPr>
                <w:sz w:val="20"/>
              </w:rPr>
            </w:pPr>
            <w:r w:rsidRPr="003F2019">
              <w:rPr>
                <w:sz w:val="20"/>
              </w:rPr>
              <w:t>-30.1%</w:t>
            </w:r>
          </w:p>
        </w:tc>
        <w:tc>
          <w:tcPr>
            <w:tcW w:w="1485" w:type="dxa"/>
            <w:tcBorders>
              <w:top w:val="single" w:sz="4" w:space="0" w:color="000000"/>
              <w:left w:val="single" w:sz="4" w:space="0" w:color="000000"/>
              <w:bottom w:val="single" w:sz="4" w:space="0" w:color="000000"/>
              <w:right w:val="nil"/>
            </w:tcBorders>
          </w:tcPr>
          <w:p w14:paraId="5A82A6D5" w14:textId="77777777" w:rsidR="00C73B70" w:rsidRPr="003F2019" w:rsidRDefault="00C73B70" w:rsidP="00121552">
            <w:pPr>
              <w:pStyle w:val="TableParagraph"/>
              <w:spacing w:line="218" w:lineRule="exact"/>
              <w:ind w:left="103" w:right="93"/>
              <w:rPr>
                <w:sz w:val="20"/>
              </w:rPr>
            </w:pPr>
            <w:r w:rsidRPr="003F2019">
              <w:rPr>
                <w:sz w:val="20"/>
              </w:rPr>
              <w:t>-30.3%</w:t>
            </w:r>
          </w:p>
        </w:tc>
      </w:tr>
      <w:tr w:rsidR="00C73B70" w:rsidRPr="003F2019" w14:paraId="1A314A68" w14:textId="77777777" w:rsidTr="00121552">
        <w:trPr>
          <w:trHeight w:val="249"/>
          <w:jc w:val="center"/>
        </w:trPr>
        <w:tc>
          <w:tcPr>
            <w:tcW w:w="1150" w:type="dxa"/>
            <w:tcBorders>
              <w:top w:val="single" w:sz="4" w:space="0" w:color="000000"/>
              <w:left w:val="nil"/>
              <w:bottom w:val="single" w:sz="4" w:space="0" w:color="000000"/>
              <w:right w:val="single" w:sz="4" w:space="0" w:color="000000"/>
            </w:tcBorders>
          </w:tcPr>
          <w:p w14:paraId="027EF191" w14:textId="77777777" w:rsidR="00C73B70" w:rsidRPr="003F2019" w:rsidRDefault="00C73B70" w:rsidP="00121552">
            <w:pPr>
              <w:pStyle w:val="TableParagraph"/>
              <w:spacing w:line="218" w:lineRule="exact"/>
              <w:ind w:left="101" w:right="92"/>
              <w:rPr>
                <w:sz w:val="20"/>
              </w:rPr>
            </w:pPr>
            <w:r w:rsidRPr="003F2019">
              <w:rPr>
                <w:sz w:val="20"/>
              </w:rPr>
              <w:t>Cat3-fused</w:t>
            </w:r>
          </w:p>
        </w:tc>
        <w:tc>
          <w:tcPr>
            <w:tcW w:w="1489" w:type="dxa"/>
            <w:tcBorders>
              <w:top w:val="single" w:sz="4" w:space="0" w:color="000000"/>
              <w:left w:val="single" w:sz="4" w:space="0" w:color="000000"/>
              <w:bottom w:val="single" w:sz="4" w:space="0" w:color="000000"/>
              <w:right w:val="single" w:sz="4" w:space="0" w:color="000000"/>
            </w:tcBorders>
          </w:tcPr>
          <w:p w14:paraId="5B05F71B" w14:textId="77777777" w:rsidR="00C73B70" w:rsidRPr="003F2019" w:rsidRDefault="00C73B70" w:rsidP="00121552">
            <w:pPr>
              <w:pStyle w:val="TableParagraph"/>
              <w:spacing w:line="218" w:lineRule="exact"/>
              <w:ind w:left="102" w:right="93"/>
              <w:rPr>
                <w:sz w:val="20"/>
              </w:rPr>
            </w:pPr>
            <w:r w:rsidRPr="003F2019">
              <w:rPr>
                <w:sz w:val="20"/>
              </w:rPr>
              <w:t>-29.6%</w:t>
            </w:r>
          </w:p>
        </w:tc>
        <w:tc>
          <w:tcPr>
            <w:tcW w:w="1485" w:type="dxa"/>
            <w:tcBorders>
              <w:top w:val="single" w:sz="4" w:space="0" w:color="000000"/>
              <w:left w:val="single" w:sz="4" w:space="0" w:color="000000"/>
              <w:bottom w:val="single" w:sz="4" w:space="0" w:color="000000"/>
              <w:right w:val="nil"/>
            </w:tcBorders>
          </w:tcPr>
          <w:p w14:paraId="0EE59FD4" w14:textId="77777777" w:rsidR="00C73B70" w:rsidRPr="003F2019" w:rsidRDefault="00C73B70" w:rsidP="00121552">
            <w:pPr>
              <w:pStyle w:val="TableParagraph"/>
              <w:spacing w:line="218" w:lineRule="exact"/>
              <w:ind w:left="103" w:right="93"/>
              <w:rPr>
                <w:sz w:val="20"/>
              </w:rPr>
            </w:pPr>
            <w:r w:rsidRPr="003F2019">
              <w:rPr>
                <w:sz w:val="20"/>
              </w:rPr>
              <w:t>-29.5%</w:t>
            </w:r>
          </w:p>
        </w:tc>
      </w:tr>
      <w:tr w:rsidR="00C73B70" w:rsidRPr="003F2019" w14:paraId="773CFCFE" w14:textId="77777777" w:rsidTr="00121552">
        <w:trPr>
          <w:trHeight w:val="262"/>
          <w:jc w:val="center"/>
        </w:trPr>
        <w:tc>
          <w:tcPr>
            <w:tcW w:w="1150" w:type="dxa"/>
            <w:tcBorders>
              <w:top w:val="single" w:sz="4" w:space="0" w:color="000000"/>
              <w:left w:val="nil"/>
              <w:right w:val="single" w:sz="4" w:space="0" w:color="000000"/>
            </w:tcBorders>
          </w:tcPr>
          <w:p w14:paraId="700028B5" w14:textId="77777777" w:rsidR="00C73B70" w:rsidRPr="003F2019" w:rsidRDefault="00C73B70" w:rsidP="00121552">
            <w:pPr>
              <w:pStyle w:val="TableParagraph"/>
              <w:spacing w:line="218" w:lineRule="exact"/>
              <w:ind w:left="101" w:right="92"/>
              <w:rPr>
                <w:sz w:val="20"/>
              </w:rPr>
            </w:pPr>
            <w:r w:rsidRPr="003F2019">
              <w:rPr>
                <w:sz w:val="20"/>
              </w:rPr>
              <w:t>Cat3-frame</w:t>
            </w:r>
          </w:p>
        </w:tc>
        <w:tc>
          <w:tcPr>
            <w:tcW w:w="1489" w:type="dxa"/>
            <w:tcBorders>
              <w:top w:val="single" w:sz="4" w:space="0" w:color="000000"/>
              <w:left w:val="single" w:sz="4" w:space="0" w:color="000000"/>
              <w:right w:val="single" w:sz="4" w:space="0" w:color="000000"/>
            </w:tcBorders>
          </w:tcPr>
          <w:p w14:paraId="5126990B" w14:textId="77777777" w:rsidR="00C73B70" w:rsidRPr="003F2019" w:rsidRDefault="00C73B70" w:rsidP="00121552">
            <w:pPr>
              <w:pStyle w:val="TableParagraph"/>
              <w:spacing w:line="218" w:lineRule="exact"/>
              <w:ind w:left="102" w:right="93"/>
              <w:rPr>
                <w:sz w:val="20"/>
              </w:rPr>
            </w:pPr>
            <w:r w:rsidRPr="003F2019">
              <w:rPr>
                <w:sz w:val="20"/>
              </w:rPr>
              <w:t>-38.3%</w:t>
            </w:r>
          </w:p>
        </w:tc>
        <w:tc>
          <w:tcPr>
            <w:tcW w:w="1485" w:type="dxa"/>
            <w:tcBorders>
              <w:top w:val="single" w:sz="4" w:space="0" w:color="000000"/>
              <w:left w:val="single" w:sz="4" w:space="0" w:color="000000"/>
              <w:right w:val="nil"/>
            </w:tcBorders>
          </w:tcPr>
          <w:p w14:paraId="50CA2D69" w14:textId="77777777" w:rsidR="00C73B70" w:rsidRPr="003F2019" w:rsidRDefault="00C73B70" w:rsidP="00121552">
            <w:pPr>
              <w:pStyle w:val="TableParagraph"/>
              <w:keepNext/>
              <w:spacing w:line="218" w:lineRule="exact"/>
              <w:ind w:left="103" w:right="93"/>
              <w:rPr>
                <w:sz w:val="20"/>
              </w:rPr>
            </w:pPr>
            <w:r w:rsidRPr="003F2019">
              <w:rPr>
                <w:sz w:val="20"/>
              </w:rPr>
              <w:t>-52.9%</w:t>
            </w:r>
          </w:p>
        </w:tc>
      </w:tr>
    </w:tbl>
    <w:p w14:paraId="79C29308" w14:textId="77777777" w:rsidR="00C73B70" w:rsidRPr="003F2019" w:rsidRDefault="00C73B70" w:rsidP="00C73B70">
      <w:pPr>
        <w:pStyle w:val="ad"/>
        <w:jc w:val="center"/>
      </w:pPr>
      <w:bookmarkStart w:id="2" w:name="_Ref124361527"/>
      <w:r w:rsidRPr="003F2019">
        <w:t xml:space="preserve">Table </w:t>
      </w:r>
      <w:fldSimple w:instr=" SEQ Table \* ARABIC ">
        <w:r w:rsidRPr="003F2019">
          <w:t>1</w:t>
        </w:r>
      </w:fldSimple>
      <w:bookmarkEnd w:id="2"/>
      <w:r w:rsidRPr="003F2019">
        <w:t xml:space="preserve"> PERFORMANCE COMPARISON BETWEEN DRACO AND G-PCC UNDER LOSSY CONDITION IN TERMS OF BD-RATE.</w:t>
      </w:r>
    </w:p>
    <w:tbl>
      <w:tblPr>
        <w:tblStyle w:val="TableNormal"/>
        <w:tblW w:w="0" w:type="auto"/>
        <w:jc w:val="center"/>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1E0" w:firstRow="1" w:lastRow="1" w:firstColumn="1" w:lastColumn="1" w:noHBand="0" w:noVBand="0"/>
      </w:tblPr>
      <w:tblGrid>
        <w:gridCol w:w="1150"/>
        <w:gridCol w:w="1043"/>
        <w:gridCol w:w="800"/>
        <w:gridCol w:w="1176"/>
        <w:gridCol w:w="757"/>
      </w:tblGrid>
      <w:tr w:rsidR="00C73B70" w:rsidRPr="003F2019" w14:paraId="40816A32" w14:textId="77777777" w:rsidTr="00121552">
        <w:trPr>
          <w:trHeight w:val="262"/>
          <w:jc w:val="center"/>
        </w:trPr>
        <w:tc>
          <w:tcPr>
            <w:tcW w:w="1150" w:type="dxa"/>
            <w:tcBorders>
              <w:left w:val="nil"/>
              <w:bottom w:val="single" w:sz="4" w:space="0" w:color="000000"/>
              <w:right w:val="single" w:sz="4" w:space="0" w:color="000000"/>
            </w:tcBorders>
          </w:tcPr>
          <w:p w14:paraId="388F965D" w14:textId="77777777" w:rsidR="00C73B70" w:rsidRPr="003F2019" w:rsidRDefault="00C73B70" w:rsidP="00121552">
            <w:pPr>
              <w:pStyle w:val="TableParagraph"/>
              <w:rPr>
                <w:sz w:val="18"/>
              </w:rPr>
            </w:pPr>
          </w:p>
        </w:tc>
        <w:tc>
          <w:tcPr>
            <w:tcW w:w="3776" w:type="dxa"/>
            <w:gridSpan w:val="4"/>
            <w:tcBorders>
              <w:left w:val="single" w:sz="4" w:space="0" w:color="000000"/>
              <w:bottom w:val="single" w:sz="4" w:space="0" w:color="000000"/>
              <w:right w:val="nil"/>
            </w:tcBorders>
          </w:tcPr>
          <w:p w14:paraId="77883C62" w14:textId="77777777" w:rsidR="00C73B70" w:rsidRPr="003F2019" w:rsidRDefault="00C73B70" w:rsidP="00121552">
            <w:pPr>
              <w:pStyle w:val="TableParagraph"/>
              <w:spacing w:before="2"/>
              <w:ind w:left="717"/>
              <w:rPr>
                <w:sz w:val="20"/>
              </w:rPr>
            </w:pPr>
            <w:r w:rsidRPr="003F2019">
              <w:rPr>
                <w:sz w:val="20"/>
              </w:rPr>
              <w:t>Draco</w:t>
            </w:r>
            <w:r w:rsidRPr="003F2019">
              <w:rPr>
                <w:spacing w:val="16"/>
                <w:sz w:val="20"/>
              </w:rPr>
              <w:t xml:space="preserve"> </w:t>
            </w:r>
            <w:r w:rsidRPr="003F2019">
              <w:rPr>
                <w:sz w:val="20"/>
              </w:rPr>
              <w:t>1.3.5-7</w:t>
            </w:r>
            <w:r w:rsidRPr="003F2019">
              <w:rPr>
                <w:spacing w:val="16"/>
                <w:sz w:val="20"/>
              </w:rPr>
              <w:t xml:space="preserve"> </w:t>
            </w:r>
            <w:proofErr w:type="gramStart"/>
            <w:r w:rsidRPr="003F2019">
              <w:rPr>
                <w:sz w:val="20"/>
              </w:rPr>
              <w:t>vs.TMC</w:t>
            </w:r>
            <w:proofErr w:type="gramEnd"/>
            <w:r w:rsidRPr="003F2019">
              <w:rPr>
                <w:sz w:val="20"/>
              </w:rPr>
              <w:t>13v12</w:t>
            </w:r>
          </w:p>
        </w:tc>
      </w:tr>
      <w:tr w:rsidR="00C73B70" w:rsidRPr="003F2019" w14:paraId="2B091B24" w14:textId="77777777" w:rsidTr="00121552">
        <w:trPr>
          <w:trHeight w:val="249"/>
          <w:jc w:val="center"/>
        </w:trPr>
        <w:tc>
          <w:tcPr>
            <w:tcW w:w="1150" w:type="dxa"/>
            <w:tcBorders>
              <w:top w:val="single" w:sz="4" w:space="0" w:color="000000"/>
              <w:left w:val="nil"/>
              <w:bottom w:val="single" w:sz="4" w:space="0" w:color="000000"/>
              <w:right w:val="single" w:sz="4" w:space="0" w:color="000000"/>
            </w:tcBorders>
          </w:tcPr>
          <w:p w14:paraId="3FD3DDE6" w14:textId="77777777" w:rsidR="00C73B70" w:rsidRPr="003F2019" w:rsidRDefault="00C73B70" w:rsidP="00121552">
            <w:pPr>
              <w:pStyle w:val="TableParagraph"/>
              <w:rPr>
                <w:sz w:val="18"/>
              </w:rPr>
            </w:pPr>
          </w:p>
        </w:tc>
        <w:tc>
          <w:tcPr>
            <w:tcW w:w="1043" w:type="dxa"/>
            <w:tcBorders>
              <w:top w:val="single" w:sz="4" w:space="0" w:color="000000"/>
              <w:left w:val="single" w:sz="4" w:space="0" w:color="000000"/>
              <w:bottom w:val="single" w:sz="4" w:space="0" w:color="000000"/>
              <w:right w:val="single" w:sz="4" w:space="0" w:color="000000"/>
            </w:tcBorders>
          </w:tcPr>
          <w:p w14:paraId="3DF4A350" w14:textId="77777777" w:rsidR="00C73B70" w:rsidRPr="003F2019" w:rsidRDefault="00C73B70" w:rsidP="00121552">
            <w:pPr>
              <w:pStyle w:val="TableParagraph"/>
              <w:spacing w:line="218" w:lineRule="exact"/>
              <w:ind w:left="27" w:right="18"/>
              <w:rPr>
                <w:sz w:val="20"/>
              </w:rPr>
            </w:pPr>
            <w:r w:rsidRPr="003F2019">
              <w:rPr>
                <w:sz w:val="20"/>
              </w:rPr>
              <w:t>Geometry</w:t>
            </w:r>
          </w:p>
        </w:tc>
        <w:tc>
          <w:tcPr>
            <w:tcW w:w="800" w:type="dxa"/>
            <w:tcBorders>
              <w:top w:val="single" w:sz="4" w:space="0" w:color="000000"/>
              <w:left w:val="single" w:sz="4" w:space="0" w:color="000000"/>
              <w:bottom w:val="single" w:sz="4" w:space="0" w:color="000000"/>
              <w:right w:val="single" w:sz="4" w:space="0" w:color="000000"/>
            </w:tcBorders>
          </w:tcPr>
          <w:p w14:paraId="6D29F6F9" w14:textId="77777777" w:rsidR="00C73B70" w:rsidRPr="003F2019" w:rsidRDefault="00C73B70" w:rsidP="00121552">
            <w:pPr>
              <w:pStyle w:val="TableParagraph"/>
              <w:spacing w:line="218" w:lineRule="exact"/>
              <w:ind w:left="102" w:right="91"/>
              <w:rPr>
                <w:sz w:val="20"/>
              </w:rPr>
            </w:pPr>
            <w:proofErr w:type="spellStart"/>
            <w:r w:rsidRPr="003F2019">
              <w:rPr>
                <w:sz w:val="20"/>
              </w:rPr>
              <w:t>Colour</w:t>
            </w:r>
            <w:proofErr w:type="spellEnd"/>
          </w:p>
        </w:tc>
        <w:tc>
          <w:tcPr>
            <w:tcW w:w="1176" w:type="dxa"/>
            <w:tcBorders>
              <w:top w:val="single" w:sz="4" w:space="0" w:color="000000"/>
              <w:left w:val="single" w:sz="4" w:space="0" w:color="000000"/>
              <w:bottom w:val="single" w:sz="4" w:space="0" w:color="000000"/>
              <w:right w:val="single" w:sz="4" w:space="0" w:color="000000"/>
            </w:tcBorders>
          </w:tcPr>
          <w:p w14:paraId="7DF49029" w14:textId="77777777" w:rsidR="00C73B70" w:rsidRPr="003F2019" w:rsidRDefault="00C73B70" w:rsidP="00121552">
            <w:pPr>
              <w:pStyle w:val="TableParagraph"/>
              <w:spacing w:line="218" w:lineRule="exact"/>
              <w:ind w:left="95" w:right="83"/>
              <w:rPr>
                <w:sz w:val="20"/>
              </w:rPr>
            </w:pPr>
            <w:r w:rsidRPr="003F2019">
              <w:rPr>
                <w:sz w:val="20"/>
              </w:rPr>
              <w:t>Reflectance</w:t>
            </w:r>
          </w:p>
        </w:tc>
        <w:tc>
          <w:tcPr>
            <w:tcW w:w="757" w:type="dxa"/>
            <w:tcBorders>
              <w:top w:val="single" w:sz="4" w:space="0" w:color="000000"/>
              <w:left w:val="single" w:sz="4" w:space="0" w:color="000000"/>
              <w:bottom w:val="single" w:sz="4" w:space="0" w:color="000000"/>
              <w:right w:val="nil"/>
            </w:tcBorders>
          </w:tcPr>
          <w:p w14:paraId="2A4B6FB4" w14:textId="77777777" w:rsidR="00C73B70" w:rsidRPr="003F2019" w:rsidRDefault="00C73B70" w:rsidP="00121552">
            <w:pPr>
              <w:pStyle w:val="TableParagraph"/>
              <w:spacing w:line="218" w:lineRule="exact"/>
              <w:ind w:left="180"/>
              <w:rPr>
                <w:sz w:val="20"/>
              </w:rPr>
            </w:pPr>
            <w:r w:rsidRPr="003F2019">
              <w:rPr>
                <w:sz w:val="20"/>
              </w:rPr>
              <w:t>Total</w:t>
            </w:r>
          </w:p>
        </w:tc>
      </w:tr>
      <w:tr w:rsidR="00C73B70" w:rsidRPr="003F2019" w14:paraId="076F9D27" w14:textId="77777777" w:rsidTr="00121552">
        <w:trPr>
          <w:trHeight w:val="249"/>
          <w:jc w:val="center"/>
        </w:trPr>
        <w:tc>
          <w:tcPr>
            <w:tcW w:w="1150" w:type="dxa"/>
            <w:tcBorders>
              <w:top w:val="single" w:sz="4" w:space="0" w:color="000000"/>
              <w:left w:val="nil"/>
              <w:bottom w:val="single" w:sz="4" w:space="0" w:color="000000"/>
              <w:right w:val="single" w:sz="4" w:space="0" w:color="000000"/>
            </w:tcBorders>
          </w:tcPr>
          <w:p w14:paraId="17630A40" w14:textId="77777777" w:rsidR="00C73B70" w:rsidRPr="003F2019" w:rsidRDefault="00C73B70" w:rsidP="00121552">
            <w:pPr>
              <w:pStyle w:val="TableParagraph"/>
              <w:spacing w:line="218" w:lineRule="exact"/>
              <w:ind w:left="101" w:right="92"/>
              <w:rPr>
                <w:sz w:val="20"/>
              </w:rPr>
            </w:pPr>
            <w:r w:rsidRPr="003F2019">
              <w:rPr>
                <w:sz w:val="20"/>
              </w:rPr>
              <w:t>Cat1-A</w:t>
            </w:r>
          </w:p>
        </w:tc>
        <w:tc>
          <w:tcPr>
            <w:tcW w:w="1043" w:type="dxa"/>
            <w:tcBorders>
              <w:top w:val="single" w:sz="4" w:space="0" w:color="000000"/>
              <w:left w:val="single" w:sz="4" w:space="0" w:color="000000"/>
              <w:bottom w:val="single" w:sz="4" w:space="0" w:color="000000"/>
              <w:right w:val="single" w:sz="4" w:space="0" w:color="000000"/>
            </w:tcBorders>
          </w:tcPr>
          <w:p w14:paraId="4D8CE861" w14:textId="77777777" w:rsidR="00C73B70" w:rsidRPr="003F2019" w:rsidRDefault="00C73B70" w:rsidP="00121552">
            <w:pPr>
              <w:pStyle w:val="TableParagraph"/>
              <w:spacing w:line="218" w:lineRule="exact"/>
              <w:ind w:left="27" w:right="18"/>
              <w:rPr>
                <w:sz w:val="20"/>
              </w:rPr>
            </w:pPr>
            <w:r w:rsidRPr="003F2019">
              <w:rPr>
                <w:sz w:val="20"/>
              </w:rPr>
              <w:t>63.0%</w:t>
            </w:r>
          </w:p>
        </w:tc>
        <w:tc>
          <w:tcPr>
            <w:tcW w:w="800" w:type="dxa"/>
            <w:tcBorders>
              <w:top w:val="single" w:sz="4" w:space="0" w:color="000000"/>
              <w:left w:val="single" w:sz="4" w:space="0" w:color="000000"/>
              <w:bottom w:val="single" w:sz="4" w:space="0" w:color="000000"/>
              <w:right w:val="single" w:sz="4" w:space="0" w:color="000000"/>
            </w:tcBorders>
          </w:tcPr>
          <w:p w14:paraId="31BBB4BF" w14:textId="77777777" w:rsidR="00C73B70" w:rsidRPr="003F2019" w:rsidRDefault="00C73B70" w:rsidP="00121552">
            <w:pPr>
              <w:pStyle w:val="TableParagraph"/>
              <w:spacing w:line="218" w:lineRule="exact"/>
              <w:ind w:left="102" w:right="91"/>
              <w:rPr>
                <w:sz w:val="20"/>
              </w:rPr>
            </w:pPr>
            <w:r w:rsidRPr="003F2019">
              <w:rPr>
                <w:sz w:val="20"/>
              </w:rPr>
              <w:t>66.9%</w:t>
            </w:r>
          </w:p>
        </w:tc>
        <w:tc>
          <w:tcPr>
            <w:tcW w:w="1176" w:type="dxa"/>
            <w:tcBorders>
              <w:top w:val="single" w:sz="4" w:space="0" w:color="000000"/>
              <w:left w:val="single" w:sz="4" w:space="0" w:color="000000"/>
              <w:bottom w:val="single" w:sz="4" w:space="0" w:color="000000"/>
              <w:right w:val="single" w:sz="4" w:space="0" w:color="000000"/>
            </w:tcBorders>
          </w:tcPr>
          <w:p w14:paraId="0911BF42" w14:textId="77777777" w:rsidR="00C73B70" w:rsidRPr="003F2019" w:rsidRDefault="00C73B70" w:rsidP="00121552">
            <w:pPr>
              <w:pStyle w:val="TableParagraph"/>
              <w:spacing w:line="218" w:lineRule="exact"/>
              <w:ind w:left="95" w:right="83"/>
              <w:rPr>
                <w:sz w:val="20"/>
              </w:rPr>
            </w:pPr>
            <w:r w:rsidRPr="003F2019">
              <w:rPr>
                <w:sz w:val="20"/>
              </w:rPr>
              <w:t>N/A</w:t>
            </w:r>
          </w:p>
        </w:tc>
        <w:tc>
          <w:tcPr>
            <w:tcW w:w="757" w:type="dxa"/>
            <w:tcBorders>
              <w:top w:val="single" w:sz="4" w:space="0" w:color="000000"/>
              <w:left w:val="single" w:sz="4" w:space="0" w:color="000000"/>
              <w:bottom w:val="single" w:sz="4" w:space="0" w:color="000000"/>
              <w:right w:val="nil"/>
            </w:tcBorders>
          </w:tcPr>
          <w:p w14:paraId="08E2FF7A" w14:textId="77777777" w:rsidR="00C73B70" w:rsidRPr="003F2019" w:rsidRDefault="00C73B70" w:rsidP="00121552">
            <w:pPr>
              <w:pStyle w:val="TableParagraph"/>
              <w:spacing w:line="218" w:lineRule="exact"/>
              <w:ind w:left="125"/>
              <w:rPr>
                <w:sz w:val="20"/>
              </w:rPr>
            </w:pPr>
            <w:r w:rsidRPr="003F2019">
              <w:rPr>
                <w:sz w:val="20"/>
              </w:rPr>
              <w:t>65.6%</w:t>
            </w:r>
          </w:p>
        </w:tc>
      </w:tr>
      <w:tr w:rsidR="00C73B70" w:rsidRPr="003F2019" w14:paraId="12F2C6C6" w14:textId="77777777" w:rsidTr="00121552">
        <w:trPr>
          <w:trHeight w:val="249"/>
          <w:jc w:val="center"/>
        </w:trPr>
        <w:tc>
          <w:tcPr>
            <w:tcW w:w="1150" w:type="dxa"/>
            <w:tcBorders>
              <w:top w:val="single" w:sz="4" w:space="0" w:color="000000"/>
              <w:left w:val="nil"/>
              <w:bottom w:val="single" w:sz="4" w:space="0" w:color="000000"/>
              <w:right w:val="single" w:sz="4" w:space="0" w:color="000000"/>
            </w:tcBorders>
          </w:tcPr>
          <w:p w14:paraId="5FEC8CA0" w14:textId="77777777" w:rsidR="00C73B70" w:rsidRPr="003F2019" w:rsidRDefault="00C73B70" w:rsidP="00121552">
            <w:pPr>
              <w:pStyle w:val="TableParagraph"/>
              <w:spacing w:line="218" w:lineRule="exact"/>
              <w:ind w:left="101" w:right="92"/>
              <w:rPr>
                <w:sz w:val="20"/>
              </w:rPr>
            </w:pPr>
            <w:r w:rsidRPr="003F2019">
              <w:rPr>
                <w:sz w:val="20"/>
              </w:rPr>
              <w:t>Cat1-B</w:t>
            </w:r>
          </w:p>
        </w:tc>
        <w:tc>
          <w:tcPr>
            <w:tcW w:w="1043" w:type="dxa"/>
            <w:tcBorders>
              <w:top w:val="single" w:sz="4" w:space="0" w:color="000000"/>
              <w:left w:val="single" w:sz="4" w:space="0" w:color="000000"/>
              <w:bottom w:val="single" w:sz="4" w:space="0" w:color="000000"/>
              <w:right w:val="single" w:sz="4" w:space="0" w:color="000000"/>
            </w:tcBorders>
          </w:tcPr>
          <w:p w14:paraId="10DBBD74" w14:textId="77777777" w:rsidR="00C73B70" w:rsidRPr="003F2019" w:rsidRDefault="00C73B70" w:rsidP="00121552">
            <w:pPr>
              <w:pStyle w:val="TableParagraph"/>
              <w:spacing w:line="218" w:lineRule="exact"/>
              <w:ind w:left="27" w:right="18"/>
              <w:rPr>
                <w:sz w:val="20"/>
              </w:rPr>
            </w:pPr>
            <w:r w:rsidRPr="003F2019">
              <w:rPr>
                <w:sz w:val="20"/>
              </w:rPr>
              <w:t>87.3%</w:t>
            </w:r>
          </w:p>
        </w:tc>
        <w:tc>
          <w:tcPr>
            <w:tcW w:w="800" w:type="dxa"/>
            <w:tcBorders>
              <w:top w:val="single" w:sz="4" w:space="0" w:color="000000"/>
              <w:left w:val="single" w:sz="4" w:space="0" w:color="000000"/>
              <w:bottom w:val="single" w:sz="4" w:space="0" w:color="000000"/>
              <w:right w:val="single" w:sz="4" w:space="0" w:color="000000"/>
            </w:tcBorders>
          </w:tcPr>
          <w:p w14:paraId="58FFD11F" w14:textId="77777777" w:rsidR="00C73B70" w:rsidRPr="003F2019" w:rsidRDefault="00C73B70" w:rsidP="00121552">
            <w:pPr>
              <w:pStyle w:val="TableParagraph"/>
              <w:spacing w:line="218" w:lineRule="exact"/>
              <w:ind w:left="102" w:right="91"/>
              <w:rPr>
                <w:sz w:val="20"/>
              </w:rPr>
            </w:pPr>
            <w:r w:rsidRPr="003F2019">
              <w:rPr>
                <w:sz w:val="20"/>
              </w:rPr>
              <w:t>71.7%</w:t>
            </w:r>
          </w:p>
        </w:tc>
        <w:tc>
          <w:tcPr>
            <w:tcW w:w="1176" w:type="dxa"/>
            <w:tcBorders>
              <w:top w:val="single" w:sz="4" w:space="0" w:color="000000"/>
              <w:left w:val="single" w:sz="4" w:space="0" w:color="000000"/>
              <w:bottom w:val="single" w:sz="4" w:space="0" w:color="000000"/>
              <w:right w:val="single" w:sz="4" w:space="0" w:color="000000"/>
            </w:tcBorders>
          </w:tcPr>
          <w:p w14:paraId="69068520" w14:textId="77777777" w:rsidR="00C73B70" w:rsidRPr="003F2019" w:rsidRDefault="00C73B70" w:rsidP="00121552">
            <w:pPr>
              <w:pStyle w:val="TableParagraph"/>
              <w:spacing w:line="218" w:lineRule="exact"/>
              <w:ind w:left="95" w:right="83"/>
              <w:rPr>
                <w:sz w:val="20"/>
              </w:rPr>
            </w:pPr>
            <w:r w:rsidRPr="003F2019">
              <w:rPr>
                <w:sz w:val="20"/>
              </w:rPr>
              <w:t>N/A</w:t>
            </w:r>
          </w:p>
        </w:tc>
        <w:tc>
          <w:tcPr>
            <w:tcW w:w="757" w:type="dxa"/>
            <w:tcBorders>
              <w:top w:val="single" w:sz="4" w:space="0" w:color="000000"/>
              <w:left w:val="single" w:sz="4" w:space="0" w:color="000000"/>
              <w:bottom w:val="single" w:sz="4" w:space="0" w:color="000000"/>
              <w:right w:val="nil"/>
            </w:tcBorders>
          </w:tcPr>
          <w:p w14:paraId="3A2E07EC" w14:textId="77777777" w:rsidR="00C73B70" w:rsidRPr="003F2019" w:rsidRDefault="00C73B70" w:rsidP="00121552">
            <w:pPr>
              <w:pStyle w:val="TableParagraph"/>
              <w:spacing w:line="218" w:lineRule="exact"/>
              <w:ind w:left="125"/>
              <w:rPr>
                <w:sz w:val="20"/>
              </w:rPr>
            </w:pPr>
            <w:r w:rsidRPr="003F2019">
              <w:rPr>
                <w:sz w:val="20"/>
              </w:rPr>
              <w:t>81.2%</w:t>
            </w:r>
          </w:p>
        </w:tc>
      </w:tr>
      <w:tr w:rsidR="00C73B70" w:rsidRPr="003F2019" w14:paraId="6A888140" w14:textId="77777777" w:rsidTr="00121552">
        <w:trPr>
          <w:trHeight w:val="249"/>
          <w:jc w:val="center"/>
        </w:trPr>
        <w:tc>
          <w:tcPr>
            <w:tcW w:w="1150" w:type="dxa"/>
            <w:tcBorders>
              <w:top w:val="single" w:sz="4" w:space="0" w:color="000000"/>
              <w:left w:val="nil"/>
              <w:bottom w:val="single" w:sz="4" w:space="0" w:color="000000"/>
              <w:right w:val="single" w:sz="4" w:space="0" w:color="000000"/>
            </w:tcBorders>
          </w:tcPr>
          <w:p w14:paraId="06C04BD6" w14:textId="77777777" w:rsidR="00C73B70" w:rsidRPr="003F2019" w:rsidRDefault="00C73B70" w:rsidP="00121552">
            <w:pPr>
              <w:pStyle w:val="TableParagraph"/>
              <w:spacing w:line="218" w:lineRule="exact"/>
              <w:ind w:left="101" w:right="92"/>
              <w:rPr>
                <w:sz w:val="20"/>
              </w:rPr>
            </w:pPr>
            <w:r w:rsidRPr="003F2019">
              <w:rPr>
                <w:sz w:val="20"/>
              </w:rPr>
              <w:t>Cat3-fused</w:t>
            </w:r>
          </w:p>
        </w:tc>
        <w:tc>
          <w:tcPr>
            <w:tcW w:w="1043" w:type="dxa"/>
            <w:tcBorders>
              <w:top w:val="single" w:sz="4" w:space="0" w:color="000000"/>
              <w:left w:val="single" w:sz="4" w:space="0" w:color="000000"/>
              <w:bottom w:val="single" w:sz="4" w:space="0" w:color="000000"/>
              <w:right w:val="single" w:sz="4" w:space="0" w:color="000000"/>
            </w:tcBorders>
          </w:tcPr>
          <w:p w14:paraId="1A2A032C" w14:textId="77777777" w:rsidR="00C73B70" w:rsidRPr="003F2019" w:rsidRDefault="00C73B70" w:rsidP="00121552">
            <w:pPr>
              <w:pStyle w:val="TableParagraph"/>
              <w:spacing w:line="218" w:lineRule="exact"/>
              <w:ind w:left="27" w:right="18"/>
              <w:rPr>
                <w:sz w:val="20"/>
              </w:rPr>
            </w:pPr>
            <w:r w:rsidRPr="003F2019">
              <w:rPr>
                <w:sz w:val="20"/>
              </w:rPr>
              <w:t>92.7%</w:t>
            </w:r>
          </w:p>
        </w:tc>
        <w:tc>
          <w:tcPr>
            <w:tcW w:w="800" w:type="dxa"/>
            <w:tcBorders>
              <w:top w:val="single" w:sz="4" w:space="0" w:color="000000"/>
              <w:left w:val="single" w:sz="4" w:space="0" w:color="000000"/>
              <w:bottom w:val="single" w:sz="4" w:space="0" w:color="000000"/>
              <w:right w:val="single" w:sz="4" w:space="0" w:color="000000"/>
            </w:tcBorders>
          </w:tcPr>
          <w:p w14:paraId="58C86BD3" w14:textId="77777777" w:rsidR="00C73B70" w:rsidRPr="003F2019" w:rsidRDefault="00C73B70" w:rsidP="00121552">
            <w:pPr>
              <w:pStyle w:val="TableParagraph"/>
              <w:spacing w:line="218" w:lineRule="exact"/>
              <w:ind w:left="102" w:right="91"/>
              <w:rPr>
                <w:sz w:val="20"/>
              </w:rPr>
            </w:pPr>
            <w:r w:rsidRPr="003F2019">
              <w:rPr>
                <w:sz w:val="20"/>
              </w:rPr>
              <w:t>81.7%</w:t>
            </w:r>
          </w:p>
        </w:tc>
        <w:tc>
          <w:tcPr>
            <w:tcW w:w="1176" w:type="dxa"/>
            <w:tcBorders>
              <w:top w:val="single" w:sz="4" w:space="0" w:color="000000"/>
              <w:left w:val="single" w:sz="4" w:space="0" w:color="000000"/>
              <w:bottom w:val="single" w:sz="4" w:space="0" w:color="000000"/>
              <w:right w:val="single" w:sz="4" w:space="0" w:color="000000"/>
            </w:tcBorders>
          </w:tcPr>
          <w:p w14:paraId="1BDD6A60" w14:textId="77777777" w:rsidR="00C73B70" w:rsidRPr="003F2019" w:rsidRDefault="00C73B70" w:rsidP="00121552">
            <w:pPr>
              <w:pStyle w:val="TableParagraph"/>
              <w:spacing w:line="218" w:lineRule="exact"/>
              <w:ind w:left="95" w:right="83"/>
              <w:rPr>
                <w:sz w:val="20"/>
              </w:rPr>
            </w:pPr>
            <w:r w:rsidRPr="003F2019">
              <w:rPr>
                <w:sz w:val="20"/>
              </w:rPr>
              <w:t>83.2%</w:t>
            </w:r>
          </w:p>
        </w:tc>
        <w:tc>
          <w:tcPr>
            <w:tcW w:w="757" w:type="dxa"/>
            <w:tcBorders>
              <w:top w:val="single" w:sz="4" w:space="0" w:color="000000"/>
              <w:left w:val="single" w:sz="4" w:space="0" w:color="000000"/>
              <w:bottom w:val="single" w:sz="4" w:space="0" w:color="000000"/>
              <w:right w:val="nil"/>
            </w:tcBorders>
          </w:tcPr>
          <w:p w14:paraId="1846ADDC" w14:textId="77777777" w:rsidR="00C73B70" w:rsidRPr="003F2019" w:rsidRDefault="00C73B70" w:rsidP="00121552">
            <w:pPr>
              <w:pStyle w:val="TableParagraph"/>
              <w:spacing w:line="218" w:lineRule="exact"/>
              <w:ind w:left="125"/>
              <w:rPr>
                <w:sz w:val="20"/>
              </w:rPr>
            </w:pPr>
            <w:r w:rsidRPr="003F2019">
              <w:rPr>
                <w:sz w:val="20"/>
              </w:rPr>
              <w:t>87.2%</w:t>
            </w:r>
          </w:p>
        </w:tc>
      </w:tr>
      <w:tr w:rsidR="00C73B70" w:rsidRPr="003F2019" w14:paraId="3AE1035F" w14:textId="77777777" w:rsidTr="00121552">
        <w:trPr>
          <w:trHeight w:val="262"/>
          <w:jc w:val="center"/>
        </w:trPr>
        <w:tc>
          <w:tcPr>
            <w:tcW w:w="1150" w:type="dxa"/>
            <w:tcBorders>
              <w:top w:val="single" w:sz="4" w:space="0" w:color="000000"/>
              <w:left w:val="nil"/>
              <w:right w:val="single" w:sz="4" w:space="0" w:color="000000"/>
            </w:tcBorders>
          </w:tcPr>
          <w:p w14:paraId="11D35429" w14:textId="77777777" w:rsidR="00C73B70" w:rsidRPr="003F2019" w:rsidRDefault="00C73B70" w:rsidP="00121552">
            <w:pPr>
              <w:pStyle w:val="TableParagraph"/>
              <w:spacing w:line="218" w:lineRule="exact"/>
              <w:ind w:left="101" w:right="92"/>
              <w:rPr>
                <w:sz w:val="20"/>
              </w:rPr>
            </w:pPr>
            <w:r w:rsidRPr="003F2019">
              <w:rPr>
                <w:sz w:val="20"/>
              </w:rPr>
              <w:t>Cat3-frame</w:t>
            </w:r>
          </w:p>
        </w:tc>
        <w:tc>
          <w:tcPr>
            <w:tcW w:w="1043" w:type="dxa"/>
            <w:tcBorders>
              <w:top w:val="single" w:sz="4" w:space="0" w:color="000000"/>
              <w:left w:val="single" w:sz="4" w:space="0" w:color="000000"/>
              <w:right w:val="single" w:sz="4" w:space="0" w:color="000000"/>
            </w:tcBorders>
          </w:tcPr>
          <w:p w14:paraId="73506F8D" w14:textId="77777777" w:rsidR="00C73B70" w:rsidRPr="003F2019" w:rsidRDefault="00C73B70" w:rsidP="00121552">
            <w:pPr>
              <w:pStyle w:val="TableParagraph"/>
              <w:spacing w:line="218" w:lineRule="exact"/>
              <w:ind w:left="27" w:right="18"/>
              <w:rPr>
                <w:sz w:val="20"/>
              </w:rPr>
            </w:pPr>
            <w:r w:rsidRPr="003F2019">
              <w:rPr>
                <w:sz w:val="20"/>
              </w:rPr>
              <w:t>52.5%</w:t>
            </w:r>
          </w:p>
        </w:tc>
        <w:tc>
          <w:tcPr>
            <w:tcW w:w="800" w:type="dxa"/>
            <w:tcBorders>
              <w:top w:val="single" w:sz="4" w:space="0" w:color="000000"/>
              <w:left w:val="single" w:sz="4" w:space="0" w:color="000000"/>
              <w:right w:val="single" w:sz="4" w:space="0" w:color="000000"/>
            </w:tcBorders>
          </w:tcPr>
          <w:p w14:paraId="6FD45913" w14:textId="77777777" w:rsidR="00C73B70" w:rsidRPr="003F2019" w:rsidRDefault="00C73B70" w:rsidP="00121552">
            <w:pPr>
              <w:pStyle w:val="TableParagraph"/>
              <w:spacing w:line="218" w:lineRule="exact"/>
              <w:ind w:left="102" w:right="91"/>
              <w:rPr>
                <w:sz w:val="20"/>
              </w:rPr>
            </w:pPr>
            <w:r w:rsidRPr="003F2019">
              <w:rPr>
                <w:sz w:val="20"/>
              </w:rPr>
              <w:t>N/A</w:t>
            </w:r>
          </w:p>
        </w:tc>
        <w:tc>
          <w:tcPr>
            <w:tcW w:w="1176" w:type="dxa"/>
            <w:tcBorders>
              <w:top w:val="single" w:sz="4" w:space="0" w:color="000000"/>
              <w:left w:val="single" w:sz="4" w:space="0" w:color="000000"/>
              <w:right w:val="single" w:sz="4" w:space="0" w:color="000000"/>
            </w:tcBorders>
          </w:tcPr>
          <w:p w14:paraId="406A1AA0" w14:textId="77777777" w:rsidR="00C73B70" w:rsidRPr="003F2019" w:rsidRDefault="00C73B70" w:rsidP="00121552">
            <w:pPr>
              <w:pStyle w:val="TableParagraph"/>
              <w:spacing w:line="218" w:lineRule="exact"/>
              <w:ind w:left="95" w:right="83"/>
              <w:rPr>
                <w:sz w:val="20"/>
              </w:rPr>
            </w:pPr>
            <w:r w:rsidRPr="003F2019">
              <w:rPr>
                <w:sz w:val="20"/>
              </w:rPr>
              <w:t>71.8%</w:t>
            </w:r>
          </w:p>
        </w:tc>
        <w:tc>
          <w:tcPr>
            <w:tcW w:w="757" w:type="dxa"/>
            <w:tcBorders>
              <w:top w:val="single" w:sz="4" w:space="0" w:color="000000"/>
              <w:left w:val="single" w:sz="4" w:space="0" w:color="000000"/>
              <w:right w:val="nil"/>
            </w:tcBorders>
          </w:tcPr>
          <w:p w14:paraId="418C352E" w14:textId="77777777" w:rsidR="00C73B70" w:rsidRPr="003F2019" w:rsidRDefault="00C73B70" w:rsidP="00121552">
            <w:pPr>
              <w:pStyle w:val="TableParagraph"/>
              <w:keepNext/>
              <w:spacing w:line="218" w:lineRule="exact"/>
              <w:ind w:left="125"/>
              <w:rPr>
                <w:sz w:val="20"/>
              </w:rPr>
            </w:pPr>
            <w:r w:rsidRPr="003F2019">
              <w:rPr>
                <w:sz w:val="20"/>
              </w:rPr>
              <w:t>56.2%</w:t>
            </w:r>
          </w:p>
        </w:tc>
      </w:tr>
    </w:tbl>
    <w:p w14:paraId="654B2F4C" w14:textId="77777777" w:rsidR="00C73B70" w:rsidRPr="003F2019" w:rsidRDefault="00C73B70" w:rsidP="00C73B70">
      <w:pPr>
        <w:pStyle w:val="ad"/>
        <w:jc w:val="center"/>
        <w:rPr>
          <w:rFonts w:eastAsiaTheme="minorEastAsia"/>
          <w:lang w:eastAsia="ja-JP"/>
        </w:rPr>
      </w:pPr>
      <w:bookmarkStart w:id="3" w:name="_Ref124361531"/>
      <w:r w:rsidRPr="003F2019">
        <w:t xml:space="preserve">Table </w:t>
      </w:r>
      <w:fldSimple w:instr=" SEQ Table \* ARABIC ">
        <w:r w:rsidRPr="003F2019">
          <w:t>2</w:t>
        </w:r>
      </w:fldSimple>
      <w:bookmarkEnd w:id="3"/>
      <w:r w:rsidRPr="003F2019">
        <w:t xml:space="preserve"> PERFORMANCE COMPARISON BETWEEN DRACO AND G-PCC UNDER LOSSLESS CONDITION IN TERMS OF BIT PER INPUT POINT (BPIP) RATIO.</w:t>
      </w:r>
    </w:p>
    <w:p w14:paraId="10626402" w14:textId="77777777" w:rsidR="00C73B70" w:rsidRPr="003F2019" w:rsidRDefault="00C73B70" w:rsidP="00C73B70">
      <w:pPr>
        <w:widowControl/>
        <w:autoSpaceDE/>
        <w:autoSpaceDN/>
        <w:spacing w:before="120" w:after="120"/>
        <w:jc w:val="both"/>
        <w:rPr>
          <w:rFonts w:eastAsia="맑은 고딕" w:cs="Times New Roman"/>
          <w:b/>
          <w:bCs/>
          <w:sz w:val="32"/>
          <w:szCs w:val="32"/>
          <w:lang w:eastAsia="ko-KR"/>
        </w:rPr>
      </w:pPr>
      <w:r w:rsidRPr="003F2019">
        <w:rPr>
          <w:rFonts w:eastAsia="맑은 고딕" w:cs="Times New Roman"/>
          <w:b/>
          <w:bCs/>
          <w:sz w:val="32"/>
          <w:szCs w:val="32"/>
          <w:lang w:eastAsia="ko-KR"/>
        </w:rPr>
        <w:t>Publicly available information and resources</w:t>
      </w:r>
    </w:p>
    <w:p w14:paraId="29A35BB2" w14:textId="15EC892B" w:rsidR="00C73B70" w:rsidRPr="003F2019" w:rsidRDefault="00C73B70" w:rsidP="00C73B70">
      <w:pPr>
        <w:rPr>
          <w:rFonts w:eastAsia="맑은 고딕" w:cs="Times New Roman"/>
          <w:sz w:val="24"/>
          <w:szCs w:val="24"/>
          <w:lang w:eastAsia="ko-KR"/>
        </w:rPr>
      </w:pPr>
      <w:r w:rsidRPr="003F2019">
        <w:rPr>
          <w:rFonts w:cs="Times New Roman"/>
          <w:sz w:val="24"/>
          <w:szCs w:val="24"/>
        </w:rPr>
        <w:t>MPEG has developed the G-PCC Test Model</w:t>
      </w:r>
      <w:r w:rsidRPr="003F2019">
        <w:rPr>
          <w:rFonts w:eastAsia="맑은 고딕" w:cs="Times New Roman"/>
          <w:sz w:val="24"/>
          <w:szCs w:val="24"/>
          <w:lang w:eastAsia="ko-KR"/>
        </w:rPr>
        <w:t xml:space="preserve"> as its reference software encoder and decoder codebase</w:t>
      </w:r>
      <w:r w:rsidRPr="003F2019">
        <w:rPr>
          <w:rFonts w:cs="Times New Roman"/>
          <w:sz w:val="24"/>
          <w:szCs w:val="24"/>
        </w:rPr>
        <w:t xml:space="preserve"> </w:t>
      </w:r>
      <w:r w:rsidRPr="003F2019">
        <w:rPr>
          <w:rFonts w:cs="Times New Roman"/>
          <w:sz w:val="24"/>
          <w:szCs w:val="24"/>
        </w:rPr>
        <w:fldChar w:fldCharType="begin"/>
      </w:r>
      <w:r w:rsidRPr="003F2019">
        <w:rPr>
          <w:rFonts w:cs="Times New Roman"/>
          <w:sz w:val="24"/>
          <w:szCs w:val="24"/>
        </w:rPr>
        <w:instrText xml:space="preserve"> REF _Ref124195957 \n \h  \* MERGEFORMAT </w:instrText>
      </w:r>
      <w:r w:rsidRPr="003F2019">
        <w:rPr>
          <w:rFonts w:cs="Times New Roman"/>
          <w:sz w:val="24"/>
          <w:szCs w:val="24"/>
        </w:rPr>
      </w:r>
      <w:r w:rsidRPr="003F2019">
        <w:rPr>
          <w:rFonts w:cs="Times New Roman"/>
          <w:sz w:val="24"/>
          <w:szCs w:val="24"/>
        </w:rPr>
        <w:fldChar w:fldCharType="separate"/>
      </w:r>
      <w:r w:rsidRPr="003F2019">
        <w:rPr>
          <w:rFonts w:cs="Times New Roman"/>
          <w:sz w:val="24"/>
          <w:szCs w:val="24"/>
        </w:rPr>
        <w:t>[5]</w:t>
      </w:r>
      <w:r w:rsidRPr="003F2019">
        <w:rPr>
          <w:rFonts w:cs="Times New Roman"/>
          <w:sz w:val="24"/>
          <w:szCs w:val="24"/>
        </w:rPr>
        <w:fldChar w:fldCharType="end"/>
      </w:r>
      <w:r w:rsidRPr="003F2019">
        <w:rPr>
          <w:rFonts w:cs="Times New Roman"/>
          <w:sz w:val="24"/>
          <w:szCs w:val="24"/>
        </w:rPr>
        <w:t xml:space="preserve">. </w:t>
      </w:r>
      <w:r w:rsidRPr="003F2019">
        <w:rPr>
          <w:rFonts w:eastAsia="맑은 고딕" w:cs="Times New Roman"/>
          <w:sz w:val="24"/>
          <w:szCs w:val="24"/>
          <w:lang w:eastAsia="ko-KR"/>
        </w:rPr>
        <w:t>It is intended to demonstrate coding efficiency capability and proper interpretation of the syntax and decoding process specified in the standard (but not as a speed-optimized implementation), and is intended to be usable as a starting basis for product implementations. The software is available under a BSD copyright license.</w:t>
      </w:r>
      <w:r w:rsidR="007F3881" w:rsidRPr="003F2019">
        <w:rPr>
          <w:rFonts w:eastAsia="맑은 고딕" w:cs="Times New Roman"/>
          <w:sz w:val="24"/>
          <w:szCs w:val="24"/>
          <w:lang w:eastAsia="ko-KR"/>
        </w:rPr>
        <w:t xml:space="preserve"> G-PCC results are reported in various academic publications, few of them are listed in the Reference section.</w:t>
      </w:r>
    </w:p>
    <w:p w14:paraId="37C82DAF" w14:textId="77777777" w:rsidR="00801C16" w:rsidRPr="003F2019" w:rsidRDefault="00801C16" w:rsidP="00C73B70">
      <w:pPr>
        <w:rPr>
          <w:rFonts w:eastAsia="맑은 고딕" w:cs="Times New Roman"/>
          <w:sz w:val="24"/>
          <w:szCs w:val="24"/>
          <w:lang w:eastAsia="ko-KR"/>
        </w:rPr>
      </w:pPr>
    </w:p>
    <w:p w14:paraId="209A7FA3" w14:textId="0DECC664" w:rsidR="00801C16" w:rsidRPr="003F2019" w:rsidRDefault="00F23C7F" w:rsidP="00801C16">
      <w:pPr>
        <w:widowControl/>
        <w:autoSpaceDE/>
        <w:autoSpaceDN/>
        <w:spacing w:before="120" w:after="120"/>
        <w:jc w:val="both"/>
        <w:rPr>
          <w:rFonts w:eastAsia="맑은 고딕" w:cs="Times New Roman"/>
          <w:b/>
          <w:bCs/>
          <w:sz w:val="32"/>
          <w:szCs w:val="32"/>
          <w:lang w:eastAsia="ko-KR"/>
        </w:rPr>
      </w:pPr>
      <w:bookmarkStart w:id="4" w:name="_Hlk132729695"/>
      <w:r w:rsidRPr="003F2019">
        <w:rPr>
          <w:rFonts w:eastAsia="맑은 고딕" w:cs="Times New Roman"/>
          <w:b/>
          <w:bCs/>
          <w:sz w:val="32"/>
          <w:szCs w:val="32"/>
          <w:lang w:eastAsia="ko-KR"/>
        </w:rPr>
        <w:t>G-PCC vs V-PCC</w:t>
      </w:r>
    </w:p>
    <w:p w14:paraId="2C48BDAB" w14:textId="77777777" w:rsidR="00E54977" w:rsidRPr="003F2019" w:rsidRDefault="00E54977" w:rsidP="006E46AF">
      <w:pPr>
        <w:rPr>
          <w:rFonts w:cs="Times New Roman"/>
          <w:sz w:val="24"/>
          <w:szCs w:val="24"/>
        </w:rPr>
      </w:pPr>
      <w:r w:rsidRPr="003F2019">
        <w:rPr>
          <w:rFonts w:cs="Times New Roman"/>
          <w:sz w:val="24"/>
          <w:szCs w:val="24"/>
        </w:rPr>
        <w:t xml:space="preserve">In parallel with the development of G-PCC, the MPEG consortium also published the V-PCC standard for encoding point clouds. </w:t>
      </w:r>
    </w:p>
    <w:p w14:paraId="632476EA" w14:textId="77777777" w:rsidR="00E54977" w:rsidRPr="003F2019" w:rsidRDefault="00E54977" w:rsidP="006E46AF">
      <w:pPr>
        <w:rPr>
          <w:rFonts w:cs="Times New Roman"/>
          <w:sz w:val="24"/>
          <w:szCs w:val="24"/>
        </w:rPr>
      </w:pPr>
    </w:p>
    <w:p w14:paraId="5992A4D5" w14:textId="70B5BC78" w:rsidR="00E54977" w:rsidRPr="003F2019" w:rsidRDefault="00E54977" w:rsidP="00E54977">
      <w:pPr>
        <w:rPr>
          <w:rFonts w:cs="Times New Roman"/>
          <w:sz w:val="24"/>
          <w:szCs w:val="24"/>
        </w:rPr>
      </w:pPr>
      <w:r w:rsidRPr="003F2019">
        <w:rPr>
          <w:rFonts w:cs="Times New Roman"/>
          <w:sz w:val="24"/>
          <w:szCs w:val="24"/>
        </w:rPr>
        <w:t xml:space="preserve">V-PCC follows a projection-based coding principle. The point coordinate is encoded as the distance with respect to a particular plane. The attribute associated to a 3D point is projected to a 2D map. 2D video codecs can be used to code both the geometry and attribute information. Different from V-PCC, G-PCC is a 3D oriented compression scheme in which the point cloud in 3D space is directly encoded. Data structures like octree and </w:t>
      </w:r>
      <w:proofErr w:type="spellStart"/>
      <w:r w:rsidRPr="003F2019">
        <w:rPr>
          <w:rFonts w:cs="Times New Roman"/>
          <w:sz w:val="24"/>
          <w:szCs w:val="24"/>
        </w:rPr>
        <w:t>kd</w:t>
      </w:r>
      <w:proofErr w:type="spellEnd"/>
      <w:r w:rsidRPr="003F2019">
        <w:rPr>
          <w:rFonts w:cs="Times New Roman"/>
          <w:sz w:val="24"/>
          <w:szCs w:val="24"/>
        </w:rPr>
        <w:t>-tree are used to represent the point cloud. G-PCC encodes the geometry information and attribute information of point clouds separately. Geometry is coded first since the attribute coding depends on the reconstructed geometry.</w:t>
      </w:r>
    </w:p>
    <w:p w14:paraId="121E32E8" w14:textId="77777777" w:rsidR="00E54977" w:rsidRPr="003F2019" w:rsidRDefault="00E54977" w:rsidP="00E54977">
      <w:pPr>
        <w:rPr>
          <w:rFonts w:ascii="NimbusRomNo9L-Regu" w:eastAsiaTheme="minorEastAsia" w:hAnsi="NimbusRomNo9L-Regu" w:cs="NimbusRomNo9L-Regu"/>
          <w:sz w:val="20"/>
          <w:szCs w:val="20"/>
        </w:rPr>
      </w:pPr>
    </w:p>
    <w:p w14:paraId="3401DE2F" w14:textId="69CA54A5" w:rsidR="006E46AF" w:rsidRPr="003F2019" w:rsidRDefault="006E46AF" w:rsidP="00E54977">
      <w:pPr>
        <w:rPr>
          <w:rFonts w:cs="Times New Roman"/>
          <w:sz w:val="24"/>
          <w:szCs w:val="24"/>
        </w:rPr>
      </w:pPr>
      <w:r w:rsidRPr="003F2019">
        <w:rPr>
          <w:rFonts w:cs="Times New Roman"/>
          <w:sz w:val="24"/>
          <w:szCs w:val="24"/>
        </w:rPr>
        <w:t>Furthermore, G-PCC</w:t>
      </w:r>
      <w:r w:rsidR="00D5589D" w:rsidRPr="003F2019">
        <w:rPr>
          <w:rFonts w:cs="Times New Roman"/>
          <w:sz w:val="24"/>
          <w:szCs w:val="24"/>
        </w:rPr>
        <w:t xml:space="preserve"> </w:t>
      </w:r>
      <w:r w:rsidRPr="003F2019">
        <w:rPr>
          <w:rFonts w:cs="Times New Roman"/>
          <w:sz w:val="24"/>
          <w:szCs w:val="24"/>
        </w:rPr>
        <w:t>makes no assumption</w:t>
      </w:r>
      <w:r w:rsidR="00D5589D" w:rsidRPr="003F2019">
        <w:rPr>
          <w:rFonts w:cs="Times New Roman"/>
          <w:sz w:val="24"/>
          <w:szCs w:val="24"/>
        </w:rPr>
        <w:t xml:space="preserve"> </w:t>
      </w:r>
      <w:r w:rsidRPr="003F2019">
        <w:rPr>
          <w:rFonts w:cs="Times New Roman"/>
          <w:sz w:val="24"/>
          <w:szCs w:val="24"/>
        </w:rPr>
        <w:t xml:space="preserve">about the input point cloud coordinate representation. The points have an internal integer-based value, converted from a </w:t>
      </w:r>
      <w:proofErr w:type="gramStart"/>
      <w:r w:rsidRPr="003F2019">
        <w:rPr>
          <w:rFonts w:cs="Times New Roman"/>
          <w:sz w:val="24"/>
          <w:szCs w:val="24"/>
        </w:rPr>
        <w:t>floating point</w:t>
      </w:r>
      <w:proofErr w:type="gramEnd"/>
      <w:r w:rsidRPr="003F2019">
        <w:rPr>
          <w:rFonts w:cs="Times New Roman"/>
          <w:sz w:val="24"/>
          <w:szCs w:val="24"/>
        </w:rPr>
        <w:t xml:space="preserve"> value representation. This conversion</w:t>
      </w:r>
      <w:r w:rsidR="00D5589D" w:rsidRPr="003F2019">
        <w:rPr>
          <w:rFonts w:cs="Times New Roman"/>
          <w:sz w:val="24"/>
          <w:szCs w:val="24"/>
        </w:rPr>
        <w:t xml:space="preserve"> </w:t>
      </w:r>
      <w:r w:rsidRPr="003F2019">
        <w:rPr>
          <w:rFonts w:cs="Times New Roman"/>
          <w:sz w:val="24"/>
          <w:szCs w:val="24"/>
        </w:rPr>
        <w:t>is conceptually similar to voxelization of the input point cloud, and can be achieved by scaling, translation, and</w:t>
      </w:r>
      <w:r w:rsidR="00D5589D" w:rsidRPr="003F2019">
        <w:rPr>
          <w:rFonts w:cs="Times New Roman"/>
          <w:sz w:val="24"/>
          <w:szCs w:val="24"/>
        </w:rPr>
        <w:t xml:space="preserve"> </w:t>
      </w:r>
      <w:r w:rsidRPr="003F2019">
        <w:rPr>
          <w:rFonts w:cs="Times New Roman"/>
          <w:sz w:val="24"/>
          <w:szCs w:val="24"/>
        </w:rPr>
        <w:t>rounding. Another key concept for G-PCC is the definition of tiles and slices to allow parallel coding functionality. In</w:t>
      </w:r>
      <w:r w:rsidR="00D5589D" w:rsidRPr="003F2019">
        <w:rPr>
          <w:rFonts w:cs="Times New Roman"/>
          <w:sz w:val="24"/>
          <w:szCs w:val="24"/>
        </w:rPr>
        <w:t xml:space="preserve"> </w:t>
      </w:r>
      <w:r w:rsidRPr="003F2019">
        <w:rPr>
          <w:rFonts w:cs="Times New Roman"/>
          <w:sz w:val="24"/>
          <w:szCs w:val="24"/>
        </w:rPr>
        <w:t>G-PCC, a slice is defined as a set of points (geometry and attributes) that can be independently encoded and decoded.</w:t>
      </w:r>
      <w:r w:rsidR="00D5589D" w:rsidRPr="003F2019">
        <w:rPr>
          <w:rFonts w:cs="Times New Roman"/>
          <w:sz w:val="24"/>
          <w:szCs w:val="24"/>
        </w:rPr>
        <w:t xml:space="preserve"> A</w:t>
      </w:r>
      <w:r w:rsidRPr="003F2019">
        <w:rPr>
          <w:rFonts w:cs="Times New Roman"/>
          <w:sz w:val="24"/>
          <w:szCs w:val="24"/>
        </w:rPr>
        <w:t xml:space="preserve"> tile is a group</w:t>
      </w:r>
      <w:r w:rsidR="00C80583" w:rsidRPr="003F2019">
        <w:rPr>
          <w:rFonts w:cs="Times New Roman"/>
          <w:sz w:val="24"/>
          <w:szCs w:val="24"/>
        </w:rPr>
        <w:t xml:space="preserve"> </w:t>
      </w:r>
      <w:r w:rsidRPr="003F2019">
        <w:rPr>
          <w:rFonts w:cs="Times New Roman"/>
          <w:sz w:val="24"/>
          <w:szCs w:val="24"/>
        </w:rPr>
        <w:t>of slices</w:t>
      </w:r>
      <w:r w:rsidR="00D5589D" w:rsidRPr="003F2019">
        <w:rPr>
          <w:rFonts w:cs="Times New Roman"/>
          <w:sz w:val="24"/>
          <w:szCs w:val="24"/>
        </w:rPr>
        <w:t xml:space="preserve"> </w:t>
      </w:r>
      <w:r w:rsidRPr="003F2019">
        <w:rPr>
          <w:rFonts w:cs="Times New Roman"/>
          <w:sz w:val="24"/>
          <w:szCs w:val="24"/>
        </w:rPr>
        <w:t>with</w:t>
      </w:r>
      <w:r w:rsidR="00D5589D" w:rsidRPr="003F2019">
        <w:rPr>
          <w:rFonts w:cs="Times New Roman"/>
          <w:sz w:val="24"/>
          <w:szCs w:val="24"/>
        </w:rPr>
        <w:t xml:space="preserve"> </w:t>
      </w:r>
      <w:r w:rsidRPr="003F2019">
        <w:rPr>
          <w:rFonts w:cs="Times New Roman"/>
          <w:sz w:val="24"/>
          <w:szCs w:val="24"/>
        </w:rPr>
        <w:t xml:space="preserve">bounding </w:t>
      </w:r>
      <w:r w:rsidRPr="003F2019">
        <w:rPr>
          <w:rFonts w:cs="Times New Roman"/>
          <w:sz w:val="24"/>
          <w:szCs w:val="24"/>
        </w:rPr>
        <w:lastRenderedPageBreak/>
        <w:t>box information. A tile may overlap with another tile and the decoder</w:t>
      </w:r>
      <w:r w:rsidR="00D5589D" w:rsidRPr="003F2019">
        <w:rPr>
          <w:rFonts w:cs="Times New Roman"/>
          <w:sz w:val="24"/>
          <w:szCs w:val="24"/>
        </w:rPr>
        <w:t xml:space="preserve"> </w:t>
      </w:r>
      <w:r w:rsidRPr="003F2019">
        <w:rPr>
          <w:rFonts w:cs="Times New Roman"/>
          <w:sz w:val="24"/>
          <w:szCs w:val="24"/>
        </w:rPr>
        <w:t>can decode a partial area of the point cloud by accessing specific slices.</w:t>
      </w:r>
    </w:p>
    <w:p w14:paraId="5F5A7EAC" w14:textId="77777777" w:rsidR="00E54977" w:rsidRPr="003F2019" w:rsidRDefault="00E54977" w:rsidP="00E54977">
      <w:pPr>
        <w:rPr>
          <w:rFonts w:cs="Times New Roman"/>
          <w:sz w:val="24"/>
          <w:szCs w:val="24"/>
        </w:rPr>
      </w:pPr>
    </w:p>
    <w:p w14:paraId="635BCB2B" w14:textId="26AE1A55" w:rsidR="00E54977" w:rsidRPr="003F2019" w:rsidRDefault="00E54977" w:rsidP="00E54977">
      <w:pPr>
        <w:rPr>
          <w:rFonts w:cs="Times New Roman"/>
          <w:sz w:val="24"/>
          <w:szCs w:val="24"/>
        </w:rPr>
      </w:pPr>
      <w:r w:rsidRPr="003F2019">
        <w:t>In terms of compression performances, G-PCC provides state-of-the-art results for a majority of point cloud types. In contrast, V-PCC outperforms G-PCC for the particular case of dense points clouds with a low level of noise and motion.</w:t>
      </w:r>
    </w:p>
    <w:p w14:paraId="69DEBA35" w14:textId="77777777" w:rsidR="00801C16" w:rsidRPr="003F2019" w:rsidRDefault="00801C16" w:rsidP="00C73B70">
      <w:pPr>
        <w:rPr>
          <w:rFonts w:eastAsia="맑은 고딕" w:cs="Times New Roman"/>
          <w:sz w:val="24"/>
          <w:szCs w:val="24"/>
          <w:lang w:eastAsia="ko-KR"/>
        </w:rPr>
      </w:pPr>
    </w:p>
    <w:p w14:paraId="3BC7148A" w14:textId="0BEC08D4" w:rsidR="00801C16" w:rsidRPr="003F2019" w:rsidRDefault="00F23C7F" w:rsidP="00801C16">
      <w:pPr>
        <w:widowControl/>
        <w:autoSpaceDE/>
        <w:autoSpaceDN/>
        <w:spacing w:before="120" w:after="120"/>
        <w:jc w:val="both"/>
        <w:rPr>
          <w:rFonts w:eastAsia="맑은 고딕" w:cs="Times New Roman"/>
          <w:b/>
          <w:bCs/>
          <w:sz w:val="32"/>
          <w:szCs w:val="32"/>
          <w:lang w:eastAsia="ko-KR"/>
        </w:rPr>
      </w:pPr>
      <w:r w:rsidRPr="003F2019">
        <w:rPr>
          <w:rFonts w:eastAsia="맑은 고딕" w:cs="Times New Roman"/>
          <w:b/>
          <w:bCs/>
          <w:sz w:val="32"/>
          <w:szCs w:val="32"/>
          <w:lang w:eastAsia="ko-KR"/>
        </w:rPr>
        <w:t>Future work in G-PCC</w:t>
      </w:r>
    </w:p>
    <w:p w14:paraId="4AD72C30" w14:textId="77777777" w:rsidR="00801C16" w:rsidRPr="003F2019" w:rsidRDefault="00801C16" w:rsidP="00C73B70">
      <w:pPr>
        <w:rPr>
          <w:rFonts w:eastAsia="맑은 고딕" w:cs="Times New Roman"/>
          <w:sz w:val="24"/>
          <w:szCs w:val="24"/>
          <w:lang w:eastAsia="ko-KR"/>
        </w:rPr>
      </w:pPr>
    </w:p>
    <w:p w14:paraId="7EADA649" w14:textId="62FF0FA6" w:rsidR="006E46AF" w:rsidRPr="003F2019" w:rsidRDefault="006E46AF" w:rsidP="006E46AF">
      <w:pPr>
        <w:rPr>
          <w:rFonts w:cs="Times New Roman"/>
          <w:sz w:val="24"/>
          <w:szCs w:val="24"/>
        </w:rPr>
      </w:pPr>
      <w:r w:rsidRPr="003F2019">
        <w:rPr>
          <w:rFonts w:cs="Times New Roman"/>
          <w:sz w:val="24"/>
          <w:szCs w:val="24"/>
        </w:rPr>
        <w:t>One limitation of the current G-PCC standard is that it is only defined for intra prediction, that is, it does not currently use any temporal prediction tool. Nevertheless, techniques based on point cloud motion estimation and inter prediction are being considered for the next version of the standard.</w:t>
      </w:r>
      <w:r w:rsidR="00E54977" w:rsidRPr="003F2019">
        <w:rPr>
          <w:rFonts w:cs="Times New Roman"/>
          <w:sz w:val="24"/>
          <w:szCs w:val="24"/>
        </w:rPr>
        <w:t xml:space="preserve"> In addition, MPEG is also investigating the extension of G-PCC for dense point clouds.</w:t>
      </w:r>
    </w:p>
    <w:bookmarkEnd w:id="4"/>
    <w:p w14:paraId="7B0193A0" w14:textId="77777777" w:rsidR="00C73B70" w:rsidRPr="003F2019" w:rsidRDefault="00C73B70" w:rsidP="00C73B70">
      <w:pPr>
        <w:rPr>
          <w:rFonts w:eastAsia="맑은 고딕" w:cs="Times New Roman"/>
          <w:sz w:val="24"/>
          <w:szCs w:val="24"/>
          <w:lang w:eastAsia="ko-KR"/>
        </w:rPr>
      </w:pPr>
    </w:p>
    <w:p w14:paraId="4EA7F566" w14:textId="77777777" w:rsidR="00F953D8" w:rsidRPr="003F2019" w:rsidRDefault="00F953D8" w:rsidP="001F50F7">
      <w:pPr>
        <w:spacing w:line="276" w:lineRule="auto"/>
        <w:jc w:val="both"/>
        <w:rPr>
          <w:rFonts w:cs="Times New Roman"/>
          <w:highlight w:val="yellow"/>
        </w:rPr>
      </w:pPr>
    </w:p>
    <w:p w14:paraId="2E79156C" w14:textId="77777777" w:rsidR="001F50F7" w:rsidRPr="003F2019" w:rsidRDefault="001F50F7" w:rsidP="001F50F7">
      <w:pPr>
        <w:spacing w:line="276" w:lineRule="auto"/>
        <w:jc w:val="both"/>
        <w:rPr>
          <w:rFonts w:cs="Times New Roman"/>
        </w:rPr>
      </w:pPr>
    </w:p>
    <w:p w14:paraId="06896AC6" w14:textId="77777777" w:rsidR="00C73B70" w:rsidRPr="003F2019" w:rsidRDefault="00C73B70" w:rsidP="00C73B70">
      <w:pPr>
        <w:pStyle w:val="1"/>
        <w:numPr>
          <w:ilvl w:val="0"/>
          <w:numId w:val="0"/>
        </w:numPr>
        <w:ind w:left="432" w:hanging="432"/>
        <w:rPr>
          <w:rFonts w:eastAsia="맑은 고딕" w:cs="Times New Roman"/>
          <w:sz w:val="32"/>
          <w:szCs w:val="32"/>
          <w:lang w:eastAsia="ko-KR"/>
        </w:rPr>
      </w:pPr>
      <w:r w:rsidRPr="003F2019">
        <w:rPr>
          <w:rFonts w:eastAsia="맑은 고딕" w:cs="Times New Roman"/>
          <w:sz w:val="32"/>
          <w:szCs w:val="32"/>
          <w:lang w:eastAsia="ko-KR"/>
        </w:rPr>
        <w:t>References</w:t>
      </w:r>
    </w:p>
    <w:p w14:paraId="60D1D4F7" w14:textId="77777777" w:rsidR="00C73B70" w:rsidRPr="003F2019" w:rsidRDefault="00C73B70" w:rsidP="00C73B70">
      <w:pPr>
        <w:pStyle w:val="a5"/>
        <w:numPr>
          <w:ilvl w:val="0"/>
          <w:numId w:val="5"/>
        </w:numPr>
        <w:rPr>
          <w:rFonts w:cs="Times New Roman"/>
        </w:rPr>
      </w:pPr>
      <w:bookmarkStart w:id="5" w:name="_Ref124359985"/>
      <w:bookmarkStart w:id="6" w:name="_Ref72836437"/>
      <w:bookmarkStart w:id="7" w:name="_Ref69383751"/>
      <w:bookmarkStart w:id="8" w:name="_Ref69382017"/>
      <w:bookmarkStart w:id="9" w:name="_Ref323589221"/>
      <w:r w:rsidRPr="003F2019">
        <w:rPr>
          <w:rFonts w:cs="Times New Roman"/>
        </w:rPr>
        <w:t>Call for proposals for point cloud coding v2, ISO/IEC JTC1/SC29/WG11, N16763, 2017.</w:t>
      </w:r>
      <w:bookmarkEnd w:id="5"/>
    </w:p>
    <w:p w14:paraId="6CE3F9EB" w14:textId="77777777" w:rsidR="00C73B70" w:rsidRPr="003F2019" w:rsidRDefault="00C73B70" w:rsidP="00C73B70">
      <w:pPr>
        <w:numPr>
          <w:ilvl w:val="0"/>
          <w:numId w:val="5"/>
        </w:numPr>
        <w:jc w:val="both"/>
        <w:rPr>
          <w:rFonts w:cs="Times New Roman"/>
        </w:rPr>
      </w:pPr>
      <w:bookmarkStart w:id="10" w:name="_Ref124360007"/>
      <w:r w:rsidRPr="003F2019">
        <w:rPr>
          <w:rFonts w:cs="Times New Roman"/>
        </w:rPr>
        <w:t xml:space="preserve">S. Schwarz et al., “Emerging MPEG Standards for Point Cloud Compression,” in </w:t>
      </w:r>
      <w:r w:rsidRPr="003F2019">
        <w:rPr>
          <w:rFonts w:cs="Times New Roman"/>
          <w:i/>
          <w:iCs/>
        </w:rPr>
        <w:t>IEEE Journal on Emerging and Selected Topics in Circuits and Systems</w:t>
      </w:r>
      <w:r w:rsidRPr="003F2019">
        <w:rPr>
          <w:rFonts w:cs="Times New Roman"/>
        </w:rPr>
        <w:t>, vol. 9, no. 1, pp. 133-148, March 2019.</w:t>
      </w:r>
      <w:bookmarkEnd w:id="6"/>
      <w:bookmarkEnd w:id="10"/>
    </w:p>
    <w:p w14:paraId="00F7A5AF" w14:textId="77777777" w:rsidR="00C73B70" w:rsidRPr="003F2019" w:rsidRDefault="00C73B70" w:rsidP="00C73B70">
      <w:pPr>
        <w:numPr>
          <w:ilvl w:val="0"/>
          <w:numId w:val="5"/>
        </w:numPr>
        <w:jc w:val="both"/>
        <w:rPr>
          <w:rFonts w:cs="Times New Roman"/>
        </w:rPr>
      </w:pPr>
      <w:bookmarkStart w:id="11" w:name="_Ref124195243"/>
      <w:r w:rsidRPr="003F2019">
        <w:rPr>
          <w:rFonts w:cs="Times New Roman"/>
        </w:rPr>
        <w:t>G-PCC codec description, ISO/IEC JTC 1/SC 29/WG 7 N0057, January 2021</w:t>
      </w:r>
      <w:bookmarkEnd w:id="11"/>
    </w:p>
    <w:p w14:paraId="379BE10C" w14:textId="77777777" w:rsidR="00C73B70" w:rsidRPr="003F2019" w:rsidRDefault="00C73B70" w:rsidP="00C73B70">
      <w:pPr>
        <w:numPr>
          <w:ilvl w:val="0"/>
          <w:numId w:val="5"/>
        </w:numPr>
        <w:jc w:val="both"/>
        <w:rPr>
          <w:rFonts w:cs="Times New Roman"/>
        </w:rPr>
      </w:pPr>
      <w:r w:rsidRPr="003F2019">
        <w:rPr>
          <w:rFonts w:cs="Times New Roman"/>
        </w:rPr>
        <w:t>G-PCC performance evaluation and anchor results, ISO/IEC JTC 1/SC 29/WG 7 N0054, January 2021</w:t>
      </w:r>
    </w:p>
    <w:p w14:paraId="72156538" w14:textId="77777777" w:rsidR="00C73B70" w:rsidRPr="003F2019" w:rsidRDefault="00C73B70" w:rsidP="00C73B70">
      <w:pPr>
        <w:pStyle w:val="a5"/>
        <w:numPr>
          <w:ilvl w:val="0"/>
          <w:numId w:val="5"/>
        </w:numPr>
        <w:rPr>
          <w:rFonts w:cs="Times New Roman"/>
        </w:rPr>
      </w:pPr>
      <w:bookmarkStart w:id="12" w:name="_Ref124361685"/>
      <w:r w:rsidRPr="003F2019">
        <w:rPr>
          <w:rFonts w:cs="Times New Roman"/>
        </w:rPr>
        <w:t>Common Test Conditions for G-PCC, ISO/IEC JTC 1/SC 29/WG 7 N0368, October 2022</w:t>
      </w:r>
      <w:bookmarkEnd w:id="12"/>
    </w:p>
    <w:p w14:paraId="39D9152C" w14:textId="77777777" w:rsidR="00C73B70" w:rsidRPr="003F2019" w:rsidRDefault="00C73B70" w:rsidP="00C73B70">
      <w:pPr>
        <w:pStyle w:val="a5"/>
        <w:numPr>
          <w:ilvl w:val="0"/>
          <w:numId w:val="5"/>
        </w:numPr>
        <w:rPr>
          <w:rFonts w:cs="Times New Roman"/>
        </w:rPr>
      </w:pPr>
      <w:r w:rsidRPr="003F2019">
        <w:rPr>
          <w:rFonts w:cs="Times New Roman"/>
        </w:rPr>
        <w:t>Guidelines to use G-PCC for achieving best compression performances, ISO/IEC JTC 1/SC 29/WG 7 N0460, October 2021</w:t>
      </w:r>
    </w:p>
    <w:p w14:paraId="580E0E54" w14:textId="77777777" w:rsidR="00C73B70" w:rsidRPr="003F2019" w:rsidRDefault="00C73B70" w:rsidP="00C73B70">
      <w:pPr>
        <w:pStyle w:val="a5"/>
        <w:numPr>
          <w:ilvl w:val="0"/>
          <w:numId w:val="5"/>
        </w:numPr>
        <w:rPr>
          <w:rFonts w:cs="Times New Roman"/>
        </w:rPr>
      </w:pPr>
      <w:bookmarkStart w:id="13" w:name="_Ref124195957"/>
      <w:r w:rsidRPr="003F2019">
        <w:rPr>
          <w:rFonts w:cs="Times New Roman"/>
        </w:rPr>
        <w:t>https://github.com/MPEGGroup/mpeg-pcc-tmc13</w:t>
      </w:r>
      <w:bookmarkEnd w:id="7"/>
      <w:bookmarkEnd w:id="8"/>
      <w:bookmarkEnd w:id="9"/>
      <w:bookmarkEnd w:id="13"/>
    </w:p>
    <w:p w14:paraId="2E488216" w14:textId="167E434B" w:rsidR="00C73B70" w:rsidRPr="003F2019" w:rsidRDefault="00C73B70" w:rsidP="00C73B70">
      <w:pPr>
        <w:pStyle w:val="a5"/>
        <w:numPr>
          <w:ilvl w:val="0"/>
          <w:numId w:val="5"/>
        </w:numPr>
        <w:rPr>
          <w:rFonts w:cs="Times New Roman"/>
        </w:rPr>
      </w:pPr>
      <w:bookmarkStart w:id="14" w:name="_Ref124361438"/>
      <w:r w:rsidRPr="003F2019">
        <w:rPr>
          <w:rFonts w:cs="Times New Roman"/>
        </w:rPr>
        <w:t>Google, "Draco: 3D Data Compression (2018)," https://github.com/google/draco, 2018.</w:t>
      </w:r>
      <w:bookmarkEnd w:id="14"/>
    </w:p>
    <w:p w14:paraId="68E19334" w14:textId="77777777" w:rsidR="0038102F" w:rsidRPr="003F2019" w:rsidRDefault="0038102F" w:rsidP="0038102F">
      <w:pPr>
        <w:pStyle w:val="a5"/>
        <w:widowControl/>
        <w:numPr>
          <w:ilvl w:val="0"/>
          <w:numId w:val="5"/>
        </w:numPr>
        <w:autoSpaceDE/>
        <w:autoSpaceDN/>
        <w:rPr>
          <w:rFonts w:eastAsia="Times New Roman" w:cs="Times New Roman"/>
          <w:sz w:val="24"/>
          <w:szCs w:val="24"/>
          <w:lang w:eastAsia="fr-FR"/>
        </w:rPr>
      </w:pPr>
      <w:bookmarkStart w:id="15" w:name="_Hlk132731741"/>
      <w:proofErr w:type="spellStart"/>
      <w:r w:rsidRPr="003F2019">
        <w:rPr>
          <w:rFonts w:eastAsia="Times New Roman" w:cs="Times New Roman"/>
          <w:sz w:val="24"/>
          <w:szCs w:val="24"/>
          <w:lang w:eastAsia="fr-FR"/>
        </w:rPr>
        <w:t>Graziosi</w:t>
      </w:r>
      <w:proofErr w:type="spellEnd"/>
      <w:r w:rsidRPr="003F2019">
        <w:rPr>
          <w:rFonts w:eastAsia="Times New Roman" w:cs="Times New Roman"/>
          <w:sz w:val="24"/>
          <w:szCs w:val="24"/>
          <w:lang w:eastAsia="fr-FR"/>
        </w:rPr>
        <w:t xml:space="preserve">, D., </w:t>
      </w:r>
      <w:proofErr w:type="spellStart"/>
      <w:r w:rsidRPr="003F2019">
        <w:rPr>
          <w:rFonts w:eastAsia="Times New Roman" w:cs="Times New Roman"/>
          <w:sz w:val="24"/>
          <w:szCs w:val="24"/>
          <w:lang w:eastAsia="fr-FR"/>
        </w:rPr>
        <w:t>Nakagami</w:t>
      </w:r>
      <w:proofErr w:type="spellEnd"/>
      <w:r w:rsidRPr="003F2019">
        <w:rPr>
          <w:rFonts w:eastAsia="Times New Roman" w:cs="Times New Roman"/>
          <w:sz w:val="24"/>
          <w:szCs w:val="24"/>
          <w:lang w:eastAsia="fr-FR"/>
        </w:rPr>
        <w:t xml:space="preserve">, O., Kuma, S., </w:t>
      </w:r>
      <w:proofErr w:type="spellStart"/>
      <w:r w:rsidRPr="003F2019">
        <w:rPr>
          <w:rFonts w:eastAsia="Times New Roman" w:cs="Times New Roman"/>
          <w:sz w:val="24"/>
          <w:szCs w:val="24"/>
          <w:lang w:eastAsia="fr-FR"/>
        </w:rPr>
        <w:t>Zaghetto</w:t>
      </w:r>
      <w:proofErr w:type="spellEnd"/>
      <w:r w:rsidRPr="003F2019">
        <w:rPr>
          <w:rFonts w:eastAsia="Times New Roman" w:cs="Times New Roman"/>
          <w:sz w:val="24"/>
          <w:szCs w:val="24"/>
          <w:lang w:eastAsia="fr-FR"/>
        </w:rPr>
        <w:t xml:space="preserve">, A., Suzuki, T., &amp; </w:t>
      </w:r>
      <w:proofErr w:type="spellStart"/>
      <w:r w:rsidRPr="003F2019">
        <w:rPr>
          <w:rFonts w:eastAsia="Times New Roman" w:cs="Times New Roman"/>
          <w:sz w:val="24"/>
          <w:szCs w:val="24"/>
          <w:lang w:eastAsia="fr-FR"/>
        </w:rPr>
        <w:t>Tabatabai</w:t>
      </w:r>
      <w:proofErr w:type="spellEnd"/>
      <w:r w:rsidRPr="003F2019">
        <w:rPr>
          <w:rFonts w:eastAsia="Times New Roman" w:cs="Times New Roman"/>
          <w:sz w:val="24"/>
          <w:szCs w:val="24"/>
          <w:lang w:eastAsia="fr-FR"/>
        </w:rPr>
        <w:t xml:space="preserve">, A. (2020). An overview of ongoing point cloud compression standardization activities: Video-based (V-PCC) and geometry-based (G-PCC). </w:t>
      </w:r>
      <w:r w:rsidRPr="003F2019">
        <w:rPr>
          <w:rFonts w:eastAsia="Times New Roman" w:cs="Times New Roman"/>
          <w:i/>
          <w:iCs/>
          <w:sz w:val="24"/>
          <w:szCs w:val="24"/>
          <w:lang w:eastAsia="fr-FR"/>
        </w:rPr>
        <w:t>APSIPA Transactions on Signal and Information Processing</w:t>
      </w:r>
      <w:r w:rsidRPr="003F2019">
        <w:rPr>
          <w:rFonts w:eastAsia="Times New Roman" w:cs="Times New Roman"/>
          <w:sz w:val="24"/>
          <w:szCs w:val="24"/>
          <w:lang w:eastAsia="fr-FR"/>
        </w:rPr>
        <w:t xml:space="preserve">, </w:t>
      </w:r>
      <w:r w:rsidRPr="003F2019">
        <w:rPr>
          <w:rFonts w:eastAsia="Times New Roman" w:cs="Times New Roman"/>
          <w:i/>
          <w:iCs/>
          <w:sz w:val="24"/>
          <w:szCs w:val="24"/>
          <w:lang w:eastAsia="fr-FR"/>
        </w:rPr>
        <w:t>9</w:t>
      </w:r>
      <w:r w:rsidRPr="003F2019">
        <w:rPr>
          <w:rFonts w:eastAsia="Times New Roman" w:cs="Times New Roman"/>
          <w:sz w:val="24"/>
          <w:szCs w:val="24"/>
          <w:lang w:eastAsia="fr-FR"/>
        </w:rPr>
        <w:t>, e13.</w:t>
      </w:r>
    </w:p>
    <w:p w14:paraId="3B95756B" w14:textId="77777777" w:rsidR="0038102F" w:rsidRPr="003F2019" w:rsidRDefault="0038102F" w:rsidP="0038102F">
      <w:pPr>
        <w:pStyle w:val="a5"/>
        <w:widowControl/>
        <w:numPr>
          <w:ilvl w:val="0"/>
          <w:numId w:val="5"/>
        </w:numPr>
        <w:autoSpaceDE/>
        <w:autoSpaceDN/>
        <w:rPr>
          <w:rFonts w:eastAsia="Times New Roman" w:cs="Times New Roman"/>
          <w:sz w:val="24"/>
          <w:szCs w:val="24"/>
          <w:lang w:eastAsia="fr-FR"/>
        </w:rPr>
      </w:pPr>
      <w:r w:rsidRPr="003F2019">
        <w:rPr>
          <w:rFonts w:eastAsia="Times New Roman" w:cs="Times New Roman"/>
          <w:sz w:val="24"/>
          <w:szCs w:val="24"/>
          <w:lang w:eastAsia="fr-FR"/>
        </w:rPr>
        <w:t xml:space="preserve">Yu, Y., Zhang, W., &amp; Yang, F. (2022, December). Azimuth Adjustment Considering LiDAR Calibration for the Predictive Geometry Compression in G-PCC. In </w:t>
      </w:r>
      <w:r w:rsidRPr="003F2019">
        <w:rPr>
          <w:rFonts w:eastAsia="Times New Roman" w:cs="Times New Roman"/>
          <w:i/>
          <w:iCs/>
          <w:sz w:val="24"/>
          <w:szCs w:val="24"/>
          <w:lang w:eastAsia="fr-FR"/>
        </w:rPr>
        <w:t>2022 IEEE International Conference on Visual Communications and Image Processing (VCIP)</w:t>
      </w:r>
      <w:r w:rsidRPr="003F2019">
        <w:rPr>
          <w:rFonts w:eastAsia="Times New Roman" w:cs="Times New Roman"/>
          <w:sz w:val="24"/>
          <w:szCs w:val="24"/>
          <w:lang w:eastAsia="fr-FR"/>
        </w:rPr>
        <w:t xml:space="preserve"> (pp. 1-5). IEEE.</w:t>
      </w:r>
    </w:p>
    <w:p w14:paraId="69DA59F1" w14:textId="77777777" w:rsidR="0038102F" w:rsidRPr="003F2019" w:rsidRDefault="0038102F" w:rsidP="0038102F">
      <w:pPr>
        <w:pStyle w:val="a5"/>
        <w:widowControl/>
        <w:numPr>
          <w:ilvl w:val="0"/>
          <w:numId w:val="5"/>
        </w:numPr>
        <w:autoSpaceDE/>
        <w:autoSpaceDN/>
        <w:rPr>
          <w:rFonts w:eastAsia="Times New Roman" w:cs="Times New Roman"/>
          <w:sz w:val="24"/>
          <w:szCs w:val="24"/>
          <w:lang w:eastAsia="fr-FR"/>
        </w:rPr>
      </w:pPr>
      <w:r w:rsidRPr="003F2019">
        <w:rPr>
          <w:rFonts w:eastAsia="Times New Roman" w:cs="Times New Roman"/>
          <w:sz w:val="24"/>
          <w:szCs w:val="24"/>
          <w:lang w:eastAsia="fr-FR"/>
        </w:rPr>
        <w:t xml:space="preserve">Liu, H., Yuan, H., Liu, Q., Hou, J., &amp; Liu, J. (2019). A comprehensive study and comparison of core technologies for MPEG 3-D point cloud compression. </w:t>
      </w:r>
      <w:r w:rsidRPr="003F2019">
        <w:rPr>
          <w:rFonts w:eastAsia="Times New Roman" w:cs="Times New Roman"/>
          <w:i/>
          <w:iCs/>
          <w:sz w:val="24"/>
          <w:szCs w:val="24"/>
          <w:lang w:eastAsia="fr-FR"/>
        </w:rPr>
        <w:t>IEEE Transactions on Broadcasting</w:t>
      </w:r>
      <w:r w:rsidRPr="003F2019">
        <w:rPr>
          <w:rFonts w:eastAsia="Times New Roman" w:cs="Times New Roman"/>
          <w:sz w:val="24"/>
          <w:szCs w:val="24"/>
          <w:lang w:eastAsia="fr-FR"/>
        </w:rPr>
        <w:t xml:space="preserve">, </w:t>
      </w:r>
      <w:r w:rsidRPr="003F2019">
        <w:rPr>
          <w:rFonts w:eastAsia="Times New Roman" w:cs="Times New Roman"/>
          <w:i/>
          <w:iCs/>
          <w:sz w:val="24"/>
          <w:szCs w:val="24"/>
          <w:lang w:eastAsia="fr-FR"/>
        </w:rPr>
        <w:t>66</w:t>
      </w:r>
      <w:r w:rsidRPr="003F2019">
        <w:rPr>
          <w:rFonts w:eastAsia="Times New Roman" w:cs="Times New Roman"/>
          <w:sz w:val="24"/>
          <w:szCs w:val="24"/>
          <w:lang w:eastAsia="fr-FR"/>
        </w:rPr>
        <w:t>(3), 701-717.</w:t>
      </w:r>
    </w:p>
    <w:p w14:paraId="6434DA77" w14:textId="77777777" w:rsidR="0038102F" w:rsidRPr="003F2019" w:rsidRDefault="0038102F" w:rsidP="0038102F">
      <w:pPr>
        <w:pStyle w:val="a5"/>
        <w:widowControl/>
        <w:numPr>
          <w:ilvl w:val="0"/>
          <w:numId w:val="5"/>
        </w:numPr>
        <w:autoSpaceDE/>
        <w:autoSpaceDN/>
        <w:rPr>
          <w:rFonts w:eastAsia="Times New Roman" w:cs="Times New Roman"/>
          <w:sz w:val="24"/>
          <w:szCs w:val="24"/>
          <w:lang w:eastAsia="fr-FR"/>
        </w:rPr>
      </w:pPr>
      <w:r w:rsidRPr="003F2019">
        <w:rPr>
          <w:rFonts w:eastAsia="Times New Roman" w:cs="Times New Roman"/>
          <w:sz w:val="24"/>
          <w:szCs w:val="24"/>
          <w:lang w:eastAsia="fr-FR"/>
        </w:rPr>
        <w:t xml:space="preserve">Zhang, X., Gao, W., &amp; Liu, S. (2020, March). Implicit geometry partition for point cloud compression. In </w:t>
      </w:r>
      <w:r w:rsidRPr="003F2019">
        <w:rPr>
          <w:rFonts w:eastAsia="Times New Roman" w:cs="Times New Roman"/>
          <w:i/>
          <w:iCs/>
          <w:sz w:val="24"/>
          <w:szCs w:val="24"/>
          <w:lang w:eastAsia="fr-FR"/>
        </w:rPr>
        <w:t>2020 Data Compression Conference (DCC)</w:t>
      </w:r>
      <w:r w:rsidRPr="003F2019">
        <w:rPr>
          <w:rFonts w:eastAsia="Times New Roman" w:cs="Times New Roman"/>
          <w:sz w:val="24"/>
          <w:szCs w:val="24"/>
          <w:lang w:eastAsia="fr-FR"/>
        </w:rPr>
        <w:t xml:space="preserve"> (pp. 73-82). IEEE.</w:t>
      </w:r>
    </w:p>
    <w:p w14:paraId="7E1E51D9" w14:textId="77777777" w:rsidR="0038102F" w:rsidRPr="003F2019" w:rsidRDefault="0038102F" w:rsidP="0038102F">
      <w:pPr>
        <w:pStyle w:val="a5"/>
        <w:widowControl/>
        <w:numPr>
          <w:ilvl w:val="0"/>
          <w:numId w:val="5"/>
        </w:numPr>
        <w:autoSpaceDE/>
        <w:autoSpaceDN/>
        <w:rPr>
          <w:rFonts w:eastAsia="Times New Roman" w:cs="Times New Roman"/>
          <w:sz w:val="24"/>
          <w:szCs w:val="24"/>
          <w:lang w:eastAsia="fr-FR"/>
        </w:rPr>
      </w:pPr>
      <w:r w:rsidRPr="003F2019">
        <w:rPr>
          <w:rFonts w:eastAsia="Times New Roman" w:cs="Times New Roman"/>
          <w:sz w:val="24"/>
          <w:szCs w:val="24"/>
          <w:lang w:eastAsia="fr-FR"/>
        </w:rPr>
        <w:t xml:space="preserve">Cao, C., </w:t>
      </w:r>
      <w:proofErr w:type="spellStart"/>
      <w:r w:rsidRPr="003F2019">
        <w:rPr>
          <w:rFonts w:eastAsia="Times New Roman" w:cs="Times New Roman"/>
          <w:sz w:val="24"/>
          <w:szCs w:val="24"/>
          <w:lang w:eastAsia="fr-FR"/>
        </w:rPr>
        <w:t>Preda</w:t>
      </w:r>
      <w:proofErr w:type="spellEnd"/>
      <w:r w:rsidRPr="003F2019">
        <w:rPr>
          <w:rFonts w:eastAsia="Times New Roman" w:cs="Times New Roman"/>
          <w:sz w:val="24"/>
          <w:szCs w:val="24"/>
          <w:lang w:eastAsia="fr-FR"/>
        </w:rPr>
        <w:t xml:space="preserve">, M., Zakharchenko, V., Jang, E. S., &amp; </w:t>
      </w:r>
      <w:proofErr w:type="spellStart"/>
      <w:r w:rsidRPr="003F2019">
        <w:rPr>
          <w:rFonts w:eastAsia="Times New Roman" w:cs="Times New Roman"/>
          <w:sz w:val="24"/>
          <w:szCs w:val="24"/>
          <w:lang w:eastAsia="fr-FR"/>
        </w:rPr>
        <w:t>Zaharia</w:t>
      </w:r>
      <w:proofErr w:type="spellEnd"/>
      <w:r w:rsidRPr="003F2019">
        <w:rPr>
          <w:rFonts w:eastAsia="Times New Roman" w:cs="Times New Roman"/>
          <w:sz w:val="24"/>
          <w:szCs w:val="24"/>
          <w:lang w:eastAsia="fr-FR"/>
        </w:rPr>
        <w:t xml:space="preserve">, T. (2021). Compression of sparse and dense dynamic point clouds—methods and standards. </w:t>
      </w:r>
      <w:r w:rsidRPr="003F2019">
        <w:rPr>
          <w:rFonts w:eastAsia="Times New Roman" w:cs="Times New Roman"/>
          <w:i/>
          <w:iCs/>
          <w:sz w:val="24"/>
          <w:szCs w:val="24"/>
          <w:lang w:eastAsia="fr-FR"/>
        </w:rPr>
        <w:t>Proceedings of the IEEE</w:t>
      </w:r>
      <w:r w:rsidRPr="003F2019">
        <w:rPr>
          <w:rFonts w:eastAsia="Times New Roman" w:cs="Times New Roman"/>
          <w:sz w:val="24"/>
          <w:szCs w:val="24"/>
          <w:lang w:eastAsia="fr-FR"/>
        </w:rPr>
        <w:t xml:space="preserve">, </w:t>
      </w:r>
      <w:r w:rsidRPr="003F2019">
        <w:rPr>
          <w:rFonts w:eastAsia="Times New Roman" w:cs="Times New Roman"/>
          <w:i/>
          <w:iCs/>
          <w:sz w:val="24"/>
          <w:szCs w:val="24"/>
          <w:lang w:eastAsia="fr-FR"/>
        </w:rPr>
        <w:t>109</w:t>
      </w:r>
      <w:r w:rsidRPr="003F2019">
        <w:rPr>
          <w:rFonts w:eastAsia="Times New Roman" w:cs="Times New Roman"/>
          <w:sz w:val="24"/>
          <w:szCs w:val="24"/>
          <w:lang w:eastAsia="fr-FR"/>
        </w:rPr>
        <w:t>(9), 1537-1558.</w:t>
      </w:r>
    </w:p>
    <w:p w14:paraId="6F431B79" w14:textId="77777777" w:rsidR="00FA6C90" w:rsidRPr="003F2019" w:rsidRDefault="00FA6C90" w:rsidP="00FA6C90">
      <w:pPr>
        <w:pStyle w:val="a5"/>
        <w:widowControl/>
        <w:numPr>
          <w:ilvl w:val="0"/>
          <w:numId w:val="5"/>
        </w:numPr>
        <w:autoSpaceDE/>
        <w:autoSpaceDN/>
        <w:rPr>
          <w:rFonts w:eastAsia="Times New Roman" w:cs="Times New Roman"/>
          <w:sz w:val="24"/>
          <w:szCs w:val="24"/>
          <w:lang w:eastAsia="fr-FR"/>
        </w:rPr>
      </w:pPr>
      <w:r w:rsidRPr="003F2019">
        <w:rPr>
          <w:rFonts w:eastAsia="Times New Roman" w:cs="Times New Roman"/>
          <w:sz w:val="24"/>
          <w:szCs w:val="24"/>
          <w:lang w:eastAsia="fr-FR"/>
        </w:rPr>
        <w:t xml:space="preserve">S. Schwarz </w:t>
      </w:r>
      <w:r w:rsidRPr="003F2019">
        <w:rPr>
          <w:rFonts w:eastAsia="Times New Roman" w:cs="Times New Roman"/>
          <w:i/>
          <w:iCs/>
          <w:sz w:val="24"/>
          <w:szCs w:val="24"/>
          <w:lang w:eastAsia="fr-FR"/>
        </w:rPr>
        <w:t>et al</w:t>
      </w:r>
      <w:r w:rsidRPr="003F2019">
        <w:rPr>
          <w:rFonts w:eastAsia="Times New Roman" w:cs="Times New Roman"/>
          <w:sz w:val="24"/>
          <w:szCs w:val="24"/>
          <w:lang w:eastAsia="fr-FR"/>
        </w:rPr>
        <w:t xml:space="preserve">., "Emerging MPEG Standards for Point Cloud Compression," in </w:t>
      </w:r>
      <w:r w:rsidRPr="003F2019">
        <w:rPr>
          <w:rFonts w:eastAsia="Times New Roman" w:cs="Times New Roman"/>
          <w:i/>
          <w:iCs/>
          <w:sz w:val="24"/>
          <w:szCs w:val="24"/>
          <w:lang w:eastAsia="fr-FR"/>
        </w:rPr>
        <w:t>IEEE Journal on Emerging and Selected Topics in Circuits and Systems</w:t>
      </w:r>
      <w:r w:rsidRPr="003F2019">
        <w:rPr>
          <w:rFonts w:eastAsia="Times New Roman" w:cs="Times New Roman"/>
          <w:sz w:val="24"/>
          <w:szCs w:val="24"/>
          <w:lang w:eastAsia="fr-FR"/>
        </w:rPr>
        <w:t xml:space="preserve">, vol. 9, no. 1, pp. 133-148, March 2019, </w:t>
      </w:r>
      <w:proofErr w:type="spellStart"/>
      <w:r w:rsidRPr="003F2019">
        <w:rPr>
          <w:rFonts w:eastAsia="Times New Roman" w:cs="Times New Roman"/>
          <w:sz w:val="24"/>
          <w:szCs w:val="24"/>
          <w:lang w:eastAsia="fr-FR"/>
        </w:rPr>
        <w:t>doi</w:t>
      </w:r>
      <w:proofErr w:type="spellEnd"/>
      <w:r w:rsidRPr="003F2019">
        <w:rPr>
          <w:rFonts w:eastAsia="Times New Roman" w:cs="Times New Roman"/>
          <w:sz w:val="24"/>
          <w:szCs w:val="24"/>
          <w:lang w:eastAsia="fr-FR"/>
        </w:rPr>
        <w:t>: 10.1109/JETCAS.2018.2885981.</w:t>
      </w:r>
    </w:p>
    <w:p w14:paraId="4409C39C" w14:textId="5D75277F" w:rsidR="00FA6C90" w:rsidRPr="003F2019" w:rsidRDefault="00FA6C90" w:rsidP="002938E0">
      <w:pPr>
        <w:pStyle w:val="a5"/>
        <w:widowControl/>
        <w:numPr>
          <w:ilvl w:val="0"/>
          <w:numId w:val="5"/>
        </w:numPr>
        <w:autoSpaceDE/>
        <w:autoSpaceDN/>
        <w:rPr>
          <w:rFonts w:eastAsia="Times New Roman" w:cs="Times New Roman"/>
          <w:sz w:val="24"/>
          <w:szCs w:val="24"/>
          <w:lang w:eastAsia="fr-FR"/>
        </w:rPr>
      </w:pPr>
      <w:r w:rsidRPr="003F2019">
        <w:rPr>
          <w:rFonts w:eastAsia="Times New Roman" w:cs="Times New Roman"/>
          <w:sz w:val="24"/>
          <w:szCs w:val="24"/>
          <w:lang w:eastAsia="fr-FR"/>
        </w:rPr>
        <w:t xml:space="preserve">Giuseppe </w:t>
      </w:r>
      <w:proofErr w:type="spellStart"/>
      <w:r w:rsidRPr="003F2019">
        <w:rPr>
          <w:rFonts w:eastAsia="Times New Roman" w:cs="Times New Roman"/>
          <w:sz w:val="24"/>
          <w:szCs w:val="24"/>
          <w:lang w:eastAsia="fr-FR"/>
        </w:rPr>
        <w:t>Valenzise</w:t>
      </w:r>
      <w:proofErr w:type="spellEnd"/>
      <w:r w:rsidRPr="003F2019">
        <w:rPr>
          <w:rFonts w:eastAsia="Times New Roman" w:cs="Times New Roman"/>
          <w:sz w:val="24"/>
          <w:szCs w:val="24"/>
          <w:lang w:eastAsia="fr-FR"/>
        </w:rPr>
        <w:t xml:space="preserve">, Maurice Quach, Dong Tian, </w:t>
      </w:r>
      <w:proofErr w:type="spellStart"/>
      <w:r w:rsidRPr="003F2019">
        <w:rPr>
          <w:rFonts w:eastAsia="Times New Roman" w:cs="Times New Roman"/>
          <w:sz w:val="24"/>
          <w:szCs w:val="24"/>
          <w:lang w:eastAsia="fr-FR"/>
        </w:rPr>
        <w:t>Jiahao</w:t>
      </w:r>
      <w:proofErr w:type="spellEnd"/>
      <w:r w:rsidRPr="003F2019">
        <w:rPr>
          <w:rFonts w:eastAsia="Times New Roman" w:cs="Times New Roman"/>
          <w:sz w:val="24"/>
          <w:szCs w:val="24"/>
          <w:lang w:eastAsia="fr-FR"/>
        </w:rPr>
        <w:t xml:space="preserve"> Pang, Frédéric </w:t>
      </w:r>
      <w:proofErr w:type="spellStart"/>
      <w:r w:rsidRPr="003F2019">
        <w:rPr>
          <w:rFonts w:eastAsia="Times New Roman" w:cs="Times New Roman"/>
          <w:sz w:val="24"/>
          <w:szCs w:val="24"/>
          <w:lang w:eastAsia="fr-FR"/>
        </w:rPr>
        <w:t>Dufaux</w:t>
      </w:r>
      <w:proofErr w:type="spellEnd"/>
      <w:r w:rsidRPr="003F2019">
        <w:rPr>
          <w:rFonts w:eastAsia="Times New Roman" w:cs="Times New Roman"/>
          <w:sz w:val="24"/>
          <w:szCs w:val="24"/>
          <w:lang w:eastAsia="fr-FR"/>
        </w:rPr>
        <w:t xml:space="preserve">, Chapter 13 - Point cloud compression, Editor(s): Giuseppe </w:t>
      </w:r>
      <w:proofErr w:type="spellStart"/>
      <w:r w:rsidRPr="003F2019">
        <w:rPr>
          <w:rFonts w:eastAsia="Times New Roman" w:cs="Times New Roman"/>
          <w:sz w:val="24"/>
          <w:szCs w:val="24"/>
          <w:lang w:eastAsia="fr-FR"/>
        </w:rPr>
        <w:t>Valenzise</w:t>
      </w:r>
      <w:proofErr w:type="spellEnd"/>
      <w:r w:rsidRPr="003F2019">
        <w:rPr>
          <w:rFonts w:eastAsia="Times New Roman" w:cs="Times New Roman"/>
          <w:sz w:val="24"/>
          <w:szCs w:val="24"/>
          <w:lang w:eastAsia="fr-FR"/>
        </w:rPr>
        <w:t xml:space="preserve">, Martin Alain, </w:t>
      </w:r>
      <w:proofErr w:type="spellStart"/>
      <w:r w:rsidRPr="003F2019">
        <w:rPr>
          <w:rFonts w:eastAsia="Times New Roman" w:cs="Times New Roman"/>
          <w:sz w:val="24"/>
          <w:szCs w:val="24"/>
          <w:lang w:eastAsia="fr-FR"/>
        </w:rPr>
        <w:t>Emin</w:t>
      </w:r>
      <w:proofErr w:type="spellEnd"/>
      <w:r w:rsidRPr="003F2019">
        <w:rPr>
          <w:rFonts w:eastAsia="Times New Roman" w:cs="Times New Roman"/>
          <w:sz w:val="24"/>
          <w:szCs w:val="24"/>
          <w:lang w:eastAsia="fr-FR"/>
        </w:rPr>
        <w:t xml:space="preserve"> </w:t>
      </w:r>
      <w:proofErr w:type="spellStart"/>
      <w:r w:rsidRPr="003F2019">
        <w:rPr>
          <w:rFonts w:eastAsia="Times New Roman" w:cs="Times New Roman"/>
          <w:sz w:val="24"/>
          <w:szCs w:val="24"/>
          <w:lang w:eastAsia="fr-FR"/>
        </w:rPr>
        <w:t>Zerman</w:t>
      </w:r>
      <w:proofErr w:type="spellEnd"/>
      <w:r w:rsidRPr="003F2019">
        <w:rPr>
          <w:rFonts w:eastAsia="Times New Roman" w:cs="Times New Roman"/>
          <w:sz w:val="24"/>
          <w:szCs w:val="24"/>
          <w:lang w:eastAsia="fr-FR"/>
        </w:rPr>
        <w:t xml:space="preserve">, </w:t>
      </w:r>
      <w:proofErr w:type="spellStart"/>
      <w:r w:rsidRPr="003F2019">
        <w:rPr>
          <w:rFonts w:eastAsia="Times New Roman" w:cs="Times New Roman"/>
          <w:sz w:val="24"/>
          <w:szCs w:val="24"/>
          <w:lang w:eastAsia="fr-FR"/>
        </w:rPr>
        <w:t>Cagri</w:t>
      </w:r>
      <w:proofErr w:type="spellEnd"/>
      <w:r w:rsidRPr="003F2019">
        <w:rPr>
          <w:rFonts w:eastAsia="Times New Roman" w:cs="Times New Roman"/>
          <w:sz w:val="24"/>
          <w:szCs w:val="24"/>
          <w:lang w:eastAsia="fr-FR"/>
        </w:rPr>
        <w:t xml:space="preserve"> </w:t>
      </w:r>
      <w:proofErr w:type="spellStart"/>
      <w:r w:rsidRPr="003F2019">
        <w:rPr>
          <w:rFonts w:eastAsia="Times New Roman" w:cs="Times New Roman"/>
          <w:sz w:val="24"/>
          <w:szCs w:val="24"/>
          <w:lang w:eastAsia="fr-FR"/>
        </w:rPr>
        <w:t>Ozcinar</w:t>
      </w:r>
      <w:proofErr w:type="spellEnd"/>
      <w:r w:rsidRPr="003F2019">
        <w:rPr>
          <w:rFonts w:eastAsia="Times New Roman" w:cs="Times New Roman"/>
          <w:sz w:val="24"/>
          <w:szCs w:val="24"/>
          <w:lang w:eastAsia="fr-FR"/>
        </w:rPr>
        <w:t>, Immersive Video Technologies, Academic Press, 2023, Pages 357-385, ISBN 9780323917551,</w:t>
      </w:r>
    </w:p>
    <w:bookmarkEnd w:id="15"/>
    <w:p w14:paraId="78874A08" w14:textId="794FA5D6" w:rsidR="00CF33A5" w:rsidRPr="003F2019" w:rsidRDefault="00CF33A5" w:rsidP="007D38F7">
      <w:pPr>
        <w:spacing w:line="276" w:lineRule="auto"/>
        <w:jc w:val="both"/>
        <w:rPr>
          <w:rFonts w:cs="Times New Roman"/>
        </w:rPr>
      </w:pPr>
    </w:p>
    <w:p w14:paraId="48E4FD01" w14:textId="13CAEE9A" w:rsidR="001F50F7" w:rsidRPr="003F2019" w:rsidRDefault="001F50F7" w:rsidP="007D38F7">
      <w:pPr>
        <w:spacing w:line="276" w:lineRule="auto"/>
        <w:jc w:val="both"/>
        <w:rPr>
          <w:rFonts w:cs="Times New Roman"/>
        </w:rPr>
      </w:pPr>
    </w:p>
    <w:p w14:paraId="5735F12A" w14:textId="77777777" w:rsidR="001F50F7" w:rsidRPr="003F2019" w:rsidRDefault="001F50F7">
      <w:pPr>
        <w:spacing w:line="276" w:lineRule="auto"/>
        <w:jc w:val="both"/>
        <w:rPr>
          <w:rFonts w:cs="Times New Roman"/>
        </w:rPr>
      </w:pPr>
    </w:p>
    <w:sectPr w:rsidR="001F50F7" w:rsidRPr="003F2019" w:rsidSect="00903707">
      <w:pgSz w:w="11900" w:h="16840"/>
      <w:pgMar w:top="540" w:right="980" w:bottom="280" w:left="100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0"/>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Linux Libertine">
    <w:altName w:val="Times New Roman"/>
    <w:panose1 w:val="020B0604020202020204"/>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맑은 고딕">
    <w:panose1 w:val="020B0503020000020004"/>
    <w:charset w:val="81"/>
    <w:family w:val="swiss"/>
    <w:pitch w:val="variable"/>
    <w:sig w:usb0="9000002F" w:usb1="29D77CFB" w:usb2="00000012" w:usb3="00000000" w:csb0="00080001" w:csb1="00000000"/>
  </w:font>
  <w:font w:name="NimbusRomNo9L-Regu">
    <w:altName w:val="Calibri"/>
    <w:panose1 w:val="020B0604020202020204"/>
    <w:charset w:val="00"/>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170290"/>
    <w:multiLevelType w:val="hybridMultilevel"/>
    <w:tmpl w:val="C05AADC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338C511E"/>
    <w:multiLevelType w:val="multilevel"/>
    <w:tmpl w:val="040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 w15:restartNumberingAfterBreak="0">
    <w:nsid w:val="59A13FBC"/>
    <w:multiLevelType w:val="hybridMultilevel"/>
    <w:tmpl w:val="A2366976"/>
    <w:lvl w:ilvl="0" w:tplc="40349DAE">
      <w:numFmt w:val="bullet"/>
      <w:lvlText w:val=""/>
      <w:lvlJc w:val="left"/>
      <w:pPr>
        <w:ind w:left="720" w:hanging="360"/>
      </w:pPr>
      <w:rPr>
        <w:rFonts w:ascii="Symbol" w:eastAsia="Arial"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639C2F84"/>
    <w:multiLevelType w:val="multilevel"/>
    <w:tmpl w:val="83D623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72294C88"/>
    <w:multiLevelType w:val="hybridMultilevel"/>
    <w:tmpl w:val="AE94E2F8"/>
    <w:lvl w:ilvl="0" w:tplc="FD183340">
      <w:start w:val="1"/>
      <w:numFmt w:val="decimal"/>
      <w:lvlText w:val="[%1]"/>
      <w:lvlJc w:val="left"/>
      <w:pPr>
        <w:tabs>
          <w:tab w:val="num" w:pos="360"/>
        </w:tabs>
        <w:ind w:left="360" w:hanging="360"/>
      </w:pPr>
      <w:rPr>
        <w:rFonts w:hint="eastAsia"/>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16cid:durableId="1619024070">
    <w:abstractNumId w:val="3"/>
  </w:num>
  <w:num w:numId="2" w16cid:durableId="784739892">
    <w:abstractNumId w:val="4"/>
  </w:num>
  <w:num w:numId="3" w16cid:durableId="1005130409">
    <w:abstractNumId w:val="1"/>
  </w:num>
  <w:num w:numId="4" w16cid:durableId="1258905752">
    <w:abstractNumId w:val="2"/>
  </w:num>
  <w:num w:numId="5" w16cid:durableId="1202520794">
    <w:abstractNumId w:val="5"/>
  </w:num>
  <w:num w:numId="6" w16cid:durableId="404420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bordersDoNotSurroundHeader/>
  <w:bordersDoNotSurroundFooter/>
  <w:proofState w:spelling="clean" w:grammar="clean"/>
  <w:defaultTabStop w:val="720"/>
  <w:hyphenationZone w:val="425"/>
  <w:drawingGridHorizontalSpacing w:val="110"/>
  <w:displayHorizontalDrawingGridEvery w:val="2"/>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798F"/>
    <w:rsid w:val="00030667"/>
    <w:rsid w:val="0004318C"/>
    <w:rsid w:val="0007204C"/>
    <w:rsid w:val="00092C5D"/>
    <w:rsid w:val="000968DA"/>
    <w:rsid w:val="00097160"/>
    <w:rsid w:val="000A6991"/>
    <w:rsid w:val="000B2EB6"/>
    <w:rsid w:val="000D4FBA"/>
    <w:rsid w:val="0010406A"/>
    <w:rsid w:val="00122929"/>
    <w:rsid w:val="00126E7B"/>
    <w:rsid w:val="00131D58"/>
    <w:rsid w:val="00133FD9"/>
    <w:rsid w:val="00134CAD"/>
    <w:rsid w:val="00153BA1"/>
    <w:rsid w:val="0018563E"/>
    <w:rsid w:val="00195AB4"/>
    <w:rsid w:val="001B048A"/>
    <w:rsid w:val="001D6044"/>
    <w:rsid w:val="001F50F7"/>
    <w:rsid w:val="002115AC"/>
    <w:rsid w:val="002168E9"/>
    <w:rsid w:val="00231472"/>
    <w:rsid w:val="002958A7"/>
    <w:rsid w:val="002B24DC"/>
    <w:rsid w:val="00331CC6"/>
    <w:rsid w:val="00374AA7"/>
    <w:rsid w:val="00377191"/>
    <w:rsid w:val="0038102F"/>
    <w:rsid w:val="003B0FC6"/>
    <w:rsid w:val="003D3C43"/>
    <w:rsid w:val="003F2019"/>
    <w:rsid w:val="003F2E48"/>
    <w:rsid w:val="0040419C"/>
    <w:rsid w:val="0040558C"/>
    <w:rsid w:val="004134F2"/>
    <w:rsid w:val="004159CF"/>
    <w:rsid w:val="004360FE"/>
    <w:rsid w:val="00445966"/>
    <w:rsid w:val="004E45B6"/>
    <w:rsid w:val="004E4D55"/>
    <w:rsid w:val="00511CC4"/>
    <w:rsid w:val="00592CB3"/>
    <w:rsid w:val="005B1421"/>
    <w:rsid w:val="005E5338"/>
    <w:rsid w:val="006349D9"/>
    <w:rsid w:val="0063680F"/>
    <w:rsid w:val="00636FBD"/>
    <w:rsid w:val="006624EF"/>
    <w:rsid w:val="00683525"/>
    <w:rsid w:val="006E46AF"/>
    <w:rsid w:val="006E7F21"/>
    <w:rsid w:val="006F6895"/>
    <w:rsid w:val="007C390D"/>
    <w:rsid w:val="007D2960"/>
    <w:rsid w:val="007D38F7"/>
    <w:rsid w:val="007F3881"/>
    <w:rsid w:val="0080070B"/>
    <w:rsid w:val="00801C16"/>
    <w:rsid w:val="00842998"/>
    <w:rsid w:val="00890770"/>
    <w:rsid w:val="00892E01"/>
    <w:rsid w:val="008A03B5"/>
    <w:rsid w:val="008A0C92"/>
    <w:rsid w:val="008C7AD2"/>
    <w:rsid w:val="008D1C76"/>
    <w:rsid w:val="008E0200"/>
    <w:rsid w:val="008E4516"/>
    <w:rsid w:val="00902715"/>
    <w:rsid w:val="00903707"/>
    <w:rsid w:val="00924F6E"/>
    <w:rsid w:val="0093560F"/>
    <w:rsid w:val="009636E0"/>
    <w:rsid w:val="009C5AAC"/>
    <w:rsid w:val="009C683B"/>
    <w:rsid w:val="00A80D94"/>
    <w:rsid w:val="00A943B8"/>
    <w:rsid w:val="00AA75D7"/>
    <w:rsid w:val="00AB5B00"/>
    <w:rsid w:val="00AF3B4A"/>
    <w:rsid w:val="00B42EB7"/>
    <w:rsid w:val="00BB1F8E"/>
    <w:rsid w:val="00C070F9"/>
    <w:rsid w:val="00C36AAE"/>
    <w:rsid w:val="00C404C8"/>
    <w:rsid w:val="00C47E67"/>
    <w:rsid w:val="00C62CB5"/>
    <w:rsid w:val="00C73B70"/>
    <w:rsid w:val="00C80583"/>
    <w:rsid w:val="00C86CFA"/>
    <w:rsid w:val="00CA67E0"/>
    <w:rsid w:val="00CB313A"/>
    <w:rsid w:val="00CB798F"/>
    <w:rsid w:val="00CD2460"/>
    <w:rsid w:val="00CF33A5"/>
    <w:rsid w:val="00D2075E"/>
    <w:rsid w:val="00D45F40"/>
    <w:rsid w:val="00D5589D"/>
    <w:rsid w:val="00D6430A"/>
    <w:rsid w:val="00DA2A7D"/>
    <w:rsid w:val="00E31ED8"/>
    <w:rsid w:val="00E4690E"/>
    <w:rsid w:val="00E54977"/>
    <w:rsid w:val="00EA5EB1"/>
    <w:rsid w:val="00EA637E"/>
    <w:rsid w:val="00F0000D"/>
    <w:rsid w:val="00F03F9B"/>
    <w:rsid w:val="00F23C7F"/>
    <w:rsid w:val="00F45542"/>
    <w:rsid w:val="00F73309"/>
    <w:rsid w:val="00F953D8"/>
    <w:rsid w:val="00FA37E8"/>
    <w:rsid w:val="00FA618D"/>
    <w:rsid w:val="00FA6C90"/>
    <w:rsid w:val="00FB41C0"/>
    <w:rsid w:val="00FB55AC"/>
    <w:rsid w:val="00FF0125"/>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2AE7B16B"/>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01C16"/>
    <w:rPr>
      <w:rFonts w:ascii="Times New Roman" w:eastAsia="Arial" w:hAnsi="Times New Roman" w:cs="Arial"/>
    </w:rPr>
  </w:style>
  <w:style w:type="paragraph" w:styleId="1">
    <w:name w:val="heading 1"/>
    <w:basedOn w:val="a"/>
    <w:uiPriority w:val="9"/>
    <w:qFormat/>
    <w:pPr>
      <w:numPr>
        <w:numId w:val="3"/>
      </w:numPr>
      <w:outlineLvl w:val="0"/>
    </w:pPr>
    <w:rPr>
      <w:b/>
      <w:bCs/>
      <w:sz w:val="24"/>
      <w:szCs w:val="24"/>
    </w:rPr>
  </w:style>
  <w:style w:type="paragraph" w:styleId="2">
    <w:name w:val="heading 2"/>
    <w:basedOn w:val="a"/>
    <w:next w:val="a"/>
    <w:link w:val="2Char"/>
    <w:uiPriority w:val="9"/>
    <w:semiHidden/>
    <w:unhideWhenUsed/>
    <w:qFormat/>
    <w:rsid w:val="00FB55AC"/>
    <w:pPr>
      <w:keepNext/>
      <w:keepLines/>
      <w:numPr>
        <w:ilvl w:val="1"/>
        <w:numId w:val="3"/>
      </w:numPr>
      <w:spacing w:before="4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Char"/>
    <w:uiPriority w:val="9"/>
    <w:semiHidden/>
    <w:unhideWhenUsed/>
    <w:qFormat/>
    <w:rsid w:val="00FB55AC"/>
    <w:pPr>
      <w:keepNext/>
      <w:keepLines/>
      <w:numPr>
        <w:ilvl w:val="2"/>
        <w:numId w:val="3"/>
      </w:numPr>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
    <w:next w:val="a"/>
    <w:link w:val="4Char"/>
    <w:uiPriority w:val="9"/>
    <w:semiHidden/>
    <w:unhideWhenUsed/>
    <w:qFormat/>
    <w:rsid w:val="00FB55AC"/>
    <w:pPr>
      <w:keepNext/>
      <w:keepLines/>
      <w:numPr>
        <w:ilvl w:val="3"/>
        <w:numId w:val="3"/>
      </w:numPr>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Char"/>
    <w:uiPriority w:val="9"/>
    <w:semiHidden/>
    <w:unhideWhenUsed/>
    <w:qFormat/>
    <w:rsid w:val="00FB55AC"/>
    <w:pPr>
      <w:keepNext/>
      <w:keepLines/>
      <w:numPr>
        <w:ilvl w:val="4"/>
        <w:numId w:val="3"/>
      </w:numPr>
      <w:spacing w:before="40"/>
      <w:outlineLvl w:val="4"/>
    </w:pPr>
    <w:rPr>
      <w:rFonts w:asciiTheme="majorHAnsi" w:eastAsiaTheme="majorEastAsia" w:hAnsiTheme="majorHAnsi" w:cstheme="majorBidi"/>
      <w:color w:val="365F91" w:themeColor="accent1" w:themeShade="BF"/>
    </w:rPr>
  </w:style>
  <w:style w:type="paragraph" w:styleId="6">
    <w:name w:val="heading 6"/>
    <w:basedOn w:val="a"/>
    <w:next w:val="a"/>
    <w:link w:val="6Char"/>
    <w:uiPriority w:val="9"/>
    <w:semiHidden/>
    <w:unhideWhenUsed/>
    <w:qFormat/>
    <w:rsid w:val="00FB55AC"/>
    <w:pPr>
      <w:keepNext/>
      <w:keepLines/>
      <w:numPr>
        <w:ilvl w:val="5"/>
        <w:numId w:val="3"/>
      </w:numPr>
      <w:spacing w:before="40"/>
      <w:outlineLvl w:val="5"/>
    </w:pPr>
    <w:rPr>
      <w:rFonts w:asciiTheme="majorHAnsi" w:eastAsiaTheme="majorEastAsia" w:hAnsiTheme="majorHAnsi" w:cstheme="majorBidi"/>
      <w:color w:val="243F60" w:themeColor="accent1" w:themeShade="7F"/>
    </w:rPr>
  </w:style>
  <w:style w:type="paragraph" w:styleId="7">
    <w:name w:val="heading 7"/>
    <w:basedOn w:val="a"/>
    <w:next w:val="a"/>
    <w:link w:val="7Char"/>
    <w:uiPriority w:val="9"/>
    <w:semiHidden/>
    <w:unhideWhenUsed/>
    <w:qFormat/>
    <w:rsid w:val="00FB55AC"/>
    <w:pPr>
      <w:keepNext/>
      <w:keepLines/>
      <w:numPr>
        <w:ilvl w:val="6"/>
        <w:numId w:val="3"/>
      </w:numPr>
      <w:spacing w:before="40"/>
      <w:outlineLvl w:val="6"/>
    </w:pPr>
    <w:rPr>
      <w:rFonts w:asciiTheme="majorHAnsi" w:eastAsiaTheme="majorEastAsia" w:hAnsiTheme="majorHAnsi" w:cstheme="majorBidi"/>
      <w:i/>
      <w:iCs/>
      <w:color w:val="243F60" w:themeColor="accent1" w:themeShade="7F"/>
    </w:rPr>
  </w:style>
  <w:style w:type="paragraph" w:styleId="8">
    <w:name w:val="heading 8"/>
    <w:basedOn w:val="a"/>
    <w:next w:val="a"/>
    <w:link w:val="8Char"/>
    <w:uiPriority w:val="9"/>
    <w:semiHidden/>
    <w:unhideWhenUsed/>
    <w:qFormat/>
    <w:rsid w:val="00FB55AC"/>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Char"/>
    <w:uiPriority w:val="9"/>
    <w:semiHidden/>
    <w:unhideWhenUsed/>
    <w:qFormat/>
    <w:rsid w:val="00FB55AC"/>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a3">
    <w:name w:val="Body Text"/>
    <w:basedOn w:val="a"/>
    <w:link w:val="Char"/>
    <w:uiPriority w:val="1"/>
    <w:qFormat/>
    <w:pPr>
      <w:spacing w:before="1"/>
    </w:pPr>
    <w:rPr>
      <w:sz w:val="24"/>
      <w:szCs w:val="24"/>
    </w:rPr>
  </w:style>
  <w:style w:type="paragraph" w:styleId="a4">
    <w:name w:val="Title"/>
    <w:basedOn w:val="a"/>
    <w:link w:val="Char0"/>
    <w:uiPriority w:val="10"/>
    <w:qFormat/>
    <w:pPr>
      <w:spacing w:before="90"/>
      <w:ind w:left="1194"/>
    </w:pPr>
    <w:rPr>
      <w:b/>
      <w:bCs/>
      <w:sz w:val="29"/>
      <w:szCs w:val="29"/>
      <w:u w:val="single" w:color="000000"/>
    </w:rPr>
  </w:style>
  <w:style w:type="paragraph" w:styleId="a5">
    <w:name w:val="List Paragraph"/>
    <w:basedOn w:val="a"/>
    <w:uiPriority w:val="1"/>
    <w:qFormat/>
  </w:style>
  <w:style w:type="paragraph" w:customStyle="1" w:styleId="TableParagraph">
    <w:name w:val="Table Paragraph"/>
    <w:basedOn w:val="a"/>
    <w:uiPriority w:val="1"/>
    <w:qFormat/>
  </w:style>
  <w:style w:type="character" w:styleId="a6">
    <w:name w:val="Hyperlink"/>
    <w:uiPriority w:val="99"/>
    <w:rsid w:val="00FF2653"/>
    <w:rPr>
      <w:color w:val="0000FF"/>
      <w:u w:val="single"/>
    </w:rPr>
  </w:style>
  <w:style w:type="paragraph" w:styleId="a7">
    <w:name w:val="Normal (Web)"/>
    <w:basedOn w:val="a"/>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Char">
    <w:name w:val="본문 Char"/>
    <w:basedOn w:val="a0"/>
    <w:link w:val="a3"/>
    <w:uiPriority w:val="1"/>
    <w:rsid w:val="00FF2653"/>
    <w:rPr>
      <w:rFonts w:ascii="Arial" w:eastAsia="Arial" w:hAnsi="Arial" w:cs="Arial"/>
      <w:sz w:val="24"/>
      <w:szCs w:val="24"/>
    </w:rPr>
  </w:style>
  <w:style w:type="character" w:styleId="a8">
    <w:name w:val="Strong"/>
    <w:basedOn w:val="a0"/>
    <w:uiPriority w:val="22"/>
    <w:qFormat/>
    <w:rsid w:val="00FF2653"/>
    <w:rPr>
      <w:b/>
      <w:bCs/>
    </w:rPr>
  </w:style>
  <w:style w:type="character" w:customStyle="1" w:styleId="UnresolvedMention1">
    <w:name w:val="Unresolved Mention1"/>
    <w:basedOn w:val="a0"/>
    <w:uiPriority w:val="99"/>
    <w:semiHidden/>
    <w:unhideWhenUsed/>
    <w:rsid w:val="00FF2653"/>
    <w:rPr>
      <w:color w:val="605E5C"/>
      <w:shd w:val="clear" w:color="auto" w:fill="E1DFDD"/>
    </w:rPr>
  </w:style>
  <w:style w:type="character" w:customStyle="1" w:styleId="2Char">
    <w:name w:val="제목 2 Char"/>
    <w:basedOn w:val="a0"/>
    <w:link w:val="2"/>
    <w:uiPriority w:val="9"/>
    <w:semiHidden/>
    <w:rsid w:val="00FB55AC"/>
    <w:rPr>
      <w:rFonts w:asciiTheme="majorHAnsi" w:eastAsiaTheme="majorEastAsia" w:hAnsiTheme="majorHAnsi" w:cstheme="majorBidi"/>
      <w:color w:val="365F91" w:themeColor="accent1" w:themeShade="BF"/>
      <w:sz w:val="26"/>
      <w:szCs w:val="26"/>
    </w:rPr>
  </w:style>
  <w:style w:type="character" w:customStyle="1" w:styleId="3Char">
    <w:name w:val="제목 3 Char"/>
    <w:basedOn w:val="a0"/>
    <w:link w:val="3"/>
    <w:uiPriority w:val="9"/>
    <w:semiHidden/>
    <w:rsid w:val="00FB55AC"/>
    <w:rPr>
      <w:rFonts w:asciiTheme="majorHAnsi" w:eastAsiaTheme="majorEastAsia" w:hAnsiTheme="majorHAnsi" w:cstheme="majorBidi"/>
      <w:color w:val="243F60" w:themeColor="accent1" w:themeShade="7F"/>
      <w:sz w:val="24"/>
      <w:szCs w:val="24"/>
    </w:rPr>
  </w:style>
  <w:style w:type="character" w:customStyle="1" w:styleId="4Char">
    <w:name w:val="제목 4 Char"/>
    <w:basedOn w:val="a0"/>
    <w:link w:val="4"/>
    <w:uiPriority w:val="9"/>
    <w:semiHidden/>
    <w:rsid w:val="00FB55AC"/>
    <w:rPr>
      <w:rFonts w:asciiTheme="majorHAnsi" w:eastAsiaTheme="majorEastAsia" w:hAnsiTheme="majorHAnsi" w:cstheme="majorBidi"/>
      <w:i/>
      <w:iCs/>
      <w:color w:val="365F91" w:themeColor="accent1" w:themeShade="BF"/>
    </w:rPr>
  </w:style>
  <w:style w:type="character" w:customStyle="1" w:styleId="5Char">
    <w:name w:val="제목 5 Char"/>
    <w:basedOn w:val="a0"/>
    <w:link w:val="5"/>
    <w:uiPriority w:val="9"/>
    <w:semiHidden/>
    <w:rsid w:val="00FB55AC"/>
    <w:rPr>
      <w:rFonts w:asciiTheme="majorHAnsi" w:eastAsiaTheme="majorEastAsia" w:hAnsiTheme="majorHAnsi" w:cstheme="majorBidi"/>
      <w:color w:val="365F91" w:themeColor="accent1" w:themeShade="BF"/>
    </w:rPr>
  </w:style>
  <w:style w:type="character" w:customStyle="1" w:styleId="6Char">
    <w:name w:val="제목 6 Char"/>
    <w:basedOn w:val="a0"/>
    <w:link w:val="6"/>
    <w:uiPriority w:val="9"/>
    <w:semiHidden/>
    <w:rsid w:val="00FB55AC"/>
    <w:rPr>
      <w:rFonts w:asciiTheme="majorHAnsi" w:eastAsiaTheme="majorEastAsia" w:hAnsiTheme="majorHAnsi" w:cstheme="majorBidi"/>
      <w:color w:val="243F60" w:themeColor="accent1" w:themeShade="7F"/>
    </w:rPr>
  </w:style>
  <w:style w:type="character" w:customStyle="1" w:styleId="7Char">
    <w:name w:val="제목 7 Char"/>
    <w:basedOn w:val="a0"/>
    <w:link w:val="7"/>
    <w:uiPriority w:val="9"/>
    <w:semiHidden/>
    <w:rsid w:val="00FB55AC"/>
    <w:rPr>
      <w:rFonts w:asciiTheme="majorHAnsi" w:eastAsiaTheme="majorEastAsia" w:hAnsiTheme="majorHAnsi" w:cstheme="majorBidi"/>
      <w:i/>
      <w:iCs/>
      <w:color w:val="243F60" w:themeColor="accent1" w:themeShade="7F"/>
    </w:rPr>
  </w:style>
  <w:style w:type="character" w:customStyle="1" w:styleId="8Char">
    <w:name w:val="제목 8 Char"/>
    <w:basedOn w:val="a0"/>
    <w:link w:val="8"/>
    <w:uiPriority w:val="9"/>
    <w:semiHidden/>
    <w:rsid w:val="00FB55AC"/>
    <w:rPr>
      <w:rFonts w:asciiTheme="majorHAnsi" w:eastAsiaTheme="majorEastAsia" w:hAnsiTheme="majorHAnsi" w:cstheme="majorBidi"/>
      <w:color w:val="272727" w:themeColor="text1" w:themeTint="D8"/>
      <w:sz w:val="21"/>
      <w:szCs w:val="21"/>
    </w:rPr>
  </w:style>
  <w:style w:type="character" w:customStyle="1" w:styleId="9Char">
    <w:name w:val="제목 9 Char"/>
    <w:basedOn w:val="a0"/>
    <w:link w:val="9"/>
    <w:uiPriority w:val="9"/>
    <w:semiHidden/>
    <w:rsid w:val="00FB55AC"/>
    <w:rPr>
      <w:rFonts w:asciiTheme="majorHAnsi" w:eastAsiaTheme="majorEastAsia" w:hAnsiTheme="majorHAnsi" w:cstheme="majorBidi"/>
      <w:i/>
      <w:iCs/>
      <w:color w:val="272727" w:themeColor="text1" w:themeTint="D8"/>
      <w:sz w:val="21"/>
      <w:szCs w:val="21"/>
    </w:rPr>
  </w:style>
  <w:style w:type="paragraph" w:styleId="a9">
    <w:name w:val="Balloon Text"/>
    <w:basedOn w:val="a"/>
    <w:link w:val="Char1"/>
    <w:uiPriority w:val="99"/>
    <w:semiHidden/>
    <w:unhideWhenUsed/>
    <w:rsid w:val="00C62CB5"/>
    <w:rPr>
      <w:rFonts w:ascii="Segoe UI" w:hAnsi="Segoe UI" w:cs="Segoe UI"/>
      <w:sz w:val="18"/>
      <w:szCs w:val="18"/>
    </w:rPr>
  </w:style>
  <w:style w:type="character" w:customStyle="1" w:styleId="Char1">
    <w:name w:val="풍선 도움말 텍스트 Char"/>
    <w:basedOn w:val="a0"/>
    <w:link w:val="a9"/>
    <w:uiPriority w:val="99"/>
    <w:semiHidden/>
    <w:rsid w:val="00C62CB5"/>
    <w:rPr>
      <w:rFonts w:ascii="Segoe UI" w:eastAsia="Arial" w:hAnsi="Segoe UI" w:cs="Segoe UI"/>
      <w:sz w:val="18"/>
      <w:szCs w:val="18"/>
    </w:rPr>
  </w:style>
  <w:style w:type="character" w:styleId="aa">
    <w:name w:val="FollowedHyperlink"/>
    <w:basedOn w:val="a0"/>
    <w:uiPriority w:val="99"/>
    <w:semiHidden/>
    <w:unhideWhenUsed/>
    <w:rsid w:val="00592CB3"/>
    <w:rPr>
      <w:color w:val="800080" w:themeColor="followedHyperlink"/>
      <w:u w:val="single"/>
    </w:rPr>
  </w:style>
  <w:style w:type="character" w:styleId="ab">
    <w:name w:val="Unresolved Mention"/>
    <w:basedOn w:val="a0"/>
    <w:uiPriority w:val="99"/>
    <w:semiHidden/>
    <w:unhideWhenUsed/>
    <w:rsid w:val="00636FBD"/>
    <w:rPr>
      <w:color w:val="605E5C"/>
      <w:shd w:val="clear" w:color="auto" w:fill="E1DFDD"/>
    </w:rPr>
  </w:style>
  <w:style w:type="character" w:customStyle="1" w:styleId="Char0">
    <w:name w:val="제목 Char"/>
    <w:basedOn w:val="a0"/>
    <w:link w:val="a4"/>
    <w:uiPriority w:val="10"/>
    <w:rsid w:val="00890770"/>
    <w:rPr>
      <w:rFonts w:ascii="Times New Roman" w:eastAsia="Arial" w:hAnsi="Times New Roman" w:cs="Arial"/>
      <w:b/>
      <w:bCs/>
      <w:sz w:val="29"/>
      <w:szCs w:val="29"/>
      <w:u w:val="single" w:color="000000"/>
    </w:rPr>
  </w:style>
  <w:style w:type="paragraph" w:styleId="ac">
    <w:name w:val="Revision"/>
    <w:hidden/>
    <w:uiPriority w:val="99"/>
    <w:semiHidden/>
    <w:rsid w:val="00C47E67"/>
    <w:pPr>
      <w:widowControl/>
      <w:autoSpaceDE/>
      <w:autoSpaceDN/>
    </w:pPr>
    <w:rPr>
      <w:rFonts w:ascii="Times New Roman" w:eastAsia="Arial" w:hAnsi="Times New Roman" w:cs="Arial"/>
    </w:rPr>
  </w:style>
  <w:style w:type="paragraph" w:styleId="ad">
    <w:name w:val="caption"/>
    <w:basedOn w:val="a"/>
    <w:next w:val="a"/>
    <w:unhideWhenUsed/>
    <w:qFormat/>
    <w:rsid w:val="00C73B70"/>
    <w:pPr>
      <w:widowControl/>
      <w:autoSpaceDE/>
      <w:autoSpaceDN/>
      <w:spacing w:after="200"/>
      <w:jc w:val="both"/>
    </w:pPr>
    <w:rPr>
      <w:rFonts w:eastAsia="바탕" w:cs="Times New Roman"/>
      <w:i/>
      <w:iCs/>
      <w:color w:val="1F497D" w:themeColor="text2"/>
      <w:sz w:val="18"/>
      <w:szCs w:val="18"/>
    </w:rPr>
  </w:style>
  <w:style w:type="paragraph" w:customStyle="1" w:styleId="Abstract">
    <w:name w:val="Abstract"/>
    <w:qFormat/>
    <w:rsid w:val="00C73B70"/>
    <w:pPr>
      <w:widowControl/>
      <w:autoSpaceDE/>
      <w:autoSpaceDN/>
      <w:spacing w:before="20" w:after="120" w:line="264" w:lineRule="auto"/>
      <w:jc w:val="both"/>
    </w:pPr>
    <w:rPr>
      <w:rFonts w:ascii="Linux Libertine" w:eastAsia="바탕" w:hAnsi="Linux Libertine"/>
      <w:sz w:val="18"/>
    </w:rPr>
  </w:style>
  <w:style w:type="table" w:customStyle="1" w:styleId="TableNormal">
    <w:name w:val="Table Normal"/>
    <w:uiPriority w:val="2"/>
    <w:semiHidden/>
    <w:unhideWhenUsed/>
    <w:qFormat/>
    <w:rsid w:val="00C73B70"/>
    <w:tblPr>
      <w:tblInd w:w="0" w:type="dxa"/>
      <w:tblCellMar>
        <w:top w:w="0" w:type="dxa"/>
        <w:left w:w="0" w:type="dxa"/>
        <w:bottom w:w="0" w:type="dxa"/>
        <w:right w:w="0" w:type="dxa"/>
      </w:tblCellMar>
    </w:tblPr>
  </w:style>
  <w:style w:type="character" w:styleId="ae">
    <w:name w:val="Emphasis"/>
    <w:basedOn w:val="a0"/>
    <w:uiPriority w:val="20"/>
    <w:qFormat/>
    <w:rsid w:val="00FA6C90"/>
    <w:rPr>
      <w:i/>
      <w:iCs/>
    </w:rPr>
  </w:style>
  <w:style w:type="paragraph" w:customStyle="1" w:styleId="FrameContents">
    <w:name w:val="Frame Contents"/>
    <w:basedOn w:val="a"/>
    <w:qFormat/>
    <w:rsid w:val="008E4516"/>
    <w:pPr>
      <w:suppressAutoHyphens/>
      <w:autoSpaceDE/>
      <w:autoSpaceDN/>
      <w:spacing w:line="230" w:lineRule="atLeast"/>
    </w:pPr>
    <w:rPr>
      <w:rFonts w:ascii="Arial" w:hAnsi="Arial"/>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408955">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347289">
      <w:bodyDiv w:val="1"/>
      <w:marLeft w:val="0"/>
      <w:marRight w:val="0"/>
      <w:marTop w:val="0"/>
      <w:marBottom w:val="0"/>
      <w:divBdr>
        <w:top w:val="none" w:sz="0" w:space="0" w:color="auto"/>
        <w:left w:val="none" w:sz="0" w:space="0" w:color="auto"/>
        <w:bottom w:val="none" w:sz="0" w:space="0" w:color="auto"/>
        <w:right w:val="none" w:sz="0" w:space="0" w:color="auto"/>
      </w:divBdr>
    </w:div>
    <w:div w:id="686106176">
      <w:bodyDiv w:val="1"/>
      <w:marLeft w:val="0"/>
      <w:marRight w:val="0"/>
      <w:marTop w:val="0"/>
      <w:marBottom w:val="0"/>
      <w:divBdr>
        <w:top w:val="none" w:sz="0" w:space="0" w:color="auto"/>
        <w:left w:val="none" w:sz="0" w:space="0" w:color="auto"/>
        <w:bottom w:val="none" w:sz="0" w:space="0" w:color="auto"/>
        <w:right w:val="none" w:sz="0" w:space="0" w:color="auto"/>
      </w:divBdr>
      <w:divsChild>
        <w:div w:id="964967256">
          <w:marLeft w:val="0"/>
          <w:marRight w:val="0"/>
          <w:marTop w:val="0"/>
          <w:marBottom w:val="0"/>
          <w:divBdr>
            <w:top w:val="none" w:sz="0" w:space="0" w:color="auto"/>
            <w:left w:val="none" w:sz="0" w:space="0" w:color="auto"/>
            <w:bottom w:val="none" w:sz="0" w:space="0" w:color="auto"/>
            <w:right w:val="none" w:sz="0" w:space="0" w:color="auto"/>
          </w:divBdr>
        </w:div>
      </w:divsChild>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8721142">
      <w:bodyDiv w:val="1"/>
      <w:marLeft w:val="0"/>
      <w:marRight w:val="0"/>
      <w:marTop w:val="0"/>
      <w:marBottom w:val="0"/>
      <w:divBdr>
        <w:top w:val="none" w:sz="0" w:space="0" w:color="auto"/>
        <w:left w:val="none" w:sz="0" w:space="0" w:color="auto"/>
        <w:bottom w:val="none" w:sz="0" w:space="0" w:color="auto"/>
        <w:right w:val="none" w:sz="0" w:space="0" w:color="auto"/>
      </w:divBdr>
    </w:div>
    <w:div w:id="1014529565">
      <w:bodyDiv w:val="1"/>
      <w:marLeft w:val="0"/>
      <w:marRight w:val="0"/>
      <w:marTop w:val="0"/>
      <w:marBottom w:val="0"/>
      <w:divBdr>
        <w:top w:val="none" w:sz="0" w:space="0" w:color="auto"/>
        <w:left w:val="none" w:sz="0" w:space="0" w:color="auto"/>
        <w:bottom w:val="none" w:sz="0" w:space="0" w:color="auto"/>
        <w:right w:val="none" w:sz="0" w:space="0" w:color="auto"/>
      </w:divBdr>
    </w:div>
    <w:div w:id="1229992892">
      <w:bodyDiv w:val="1"/>
      <w:marLeft w:val="0"/>
      <w:marRight w:val="0"/>
      <w:marTop w:val="0"/>
      <w:marBottom w:val="0"/>
      <w:divBdr>
        <w:top w:val="none" w:sz="0" w:space="0" w:color="auto"/>
        <w:left w:val="none" w:sz="0" w:space="0" w:color="auto"/>
        <w:bottom w:val="none" w:sz="0" w:space="0" w:color="auto"/>
        <w:right w:val="none" w:sz="0" w:space="0" w:color="auto"/>
      </w:divBdr>
    </w:div>
    <w:div w:id="1759133526">
      <w:bodyDiv w:val="1"/>
      <w:marLeft w:val="0"/>
      <w:marRight w:val="0"/>
      <w:marTop w:val="0"/>
      <w:marBottom w:val="0"/>
      <w:divBdr>
        <w:top w:val="none" w:sz="0" w:space="0" w:color="auto"/>
        <w:left w:val="none" w:sz="0" w:space="0" w:color="auto"/>
        <w:bottom w:val="none" w:sz="0" w:space="0" w:color="auto"/>
        <w:right w:val="none" w:sz="0" w:space="0" w:color="auto"/>
      </w:divBdr>
    </w:div>
    <w:div w:id="1902012667">
      <w:bodyDiv w:val="1"/>
      <w:marLeft w:val="0"/>
      <w:marRight w:val="0"/>
      <w:marTop w:val="0"/>
      <w:marBottom w:val="0"/>
      <w:divBdr>
        <w:top w:val="none" w:sz="0" w:space="0" w:color="auto"/>
        <w:left w:val="none" w:sz="0" w:space="0" w:color="auto"/>
        <w:bottom w:val="none" w:sz="0" w:space="0" w:color="auto"/>
        <w:right w:val="none" w:sz="0" w:space="0" w:color="auto"/>
      </w:divBdr>
    </w:div>
    <w:div w:id="1905869964">
      <w:bodyDiv w:val="1"/>
      <w:marLeft w:val="0"/>
      <w:marRight w:val="0"/>
      <w:marTop w:val="0"/>
      <w:marBottom w:val="0"/>
      <w:divBdr>
        <w:top w:val="none" w:sz="0" w:space="0" w:color="auto"/>
        <w:left w:val="none" w:sz="0" w:space="0" w:color="auto"/>
        <w:bottom w:val="none" w:sz="0" w:space="0" w:color="auto"/>
        <w:right w:val="none" w:sz="0" w:space="0" w:color="auto"/>
      </w:divBdr>
    </w:div>
    <w:div w:id="1913082287">
      <w:bodyDiv w:val="1"/>
      <w:marLeft w:val="0"/>
      <w:marRight w:val="0"/>
      <w:marTop w:val="0"/>
      <w:marBottom w:val="0"/>
      <w:divBdr>
        <w:top w:val="none" w:sz="0" w:space="0" w:color="auto"/>
        <w:left w:val="none" w:sz="0" w:space="0" w:color="auto"/>
        <w:bottom w:val="none" w:sz="0" w:space="0" w:color="auto"/>
        <w:right w:val="none" w:sz="0" w:space="0" w:color="auto"/>
      </w:divBdr>
    </w:div>
    <w:div w:id="1954433218">
      <w:bodyDiv w:val="1"/>
      <w:marLeft w:val="0"/>
      <w:marRight w:val="0"/>
      <w:marTop w:val="0"/>
      <w:marBottom w:val="0"/>
      <w:divBdr>
        <w:top w:val="none" w:sz="0" w:space="0" w:color="auto"/>
        <w:left w:val="none" w:sz="0" w:space="0" w:color="auto"/>
        <w:bottom w:val="none" w:sz="0" w:space="0" w:color="auto"/>
        <w:right w:val="none" w:sz="0" w:space="0" w:color="auto"/>
      </w:divBdr>
    </w:div>
    <w:div w:id="19801874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https://isotc.iso.org/livelink/livelink/open/jtc1sc29ag3" TargetMode="Externa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png"/><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D4F4A3-9BDF-4787-9152-5078C12ED7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167</TotalTime>
  <Pages>7</Pages>
  <Words>2833</Words>
  <Characters>16153</Characters>
  <Application>Microsoft Office Word</Application>
  <DocSecurity>0</DocSecurity>
  <Lines>134</Lines>
  <Paragraphs>37</Paragraphs>
  <ScaleCrop>false</ScaleCrop>
  <HeadingPairs>
    <vt:vector size="6" baseType="variant">
      <vt:variant>
        <vt:lpstr>Titre</vt:lpstr>
      </vt:variant>
      <vt:variant>
        <vt:i4>1</vt:i4>
      </vt:variant>
      <vt:variant>
        <vt:lpstr>Title</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18949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Elena Alshina</dc:creator>
  <cp:lastModifiedBy>Microsoft Office User</cp:lastModifiedBy>
  <cp:revision>11</cp:revision>
  <dcterms:created xsi:type="dcterms:W3CDTF">2023-04-18T13:20:00Z</dcterms:created>
  <dcterms:modified xsi:type="dcterms:W3CDTF">2023-04-30T10:28:00Z</dcterms:modified>
</cp:coreProperties>
</file>