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19EEDCF"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56436A" w:rsidRPr="0056436A">
        <w:rPr>
          <w:rFonts w:ascii="Times New Roman" w:hAnsi="Times New Roman" w:cs="Times New Roman"/>
          <w:spacing w:val="28"/>
          <w:w w:val="115"/>
          <w:sz w:val="48"/>
          <w:szCs w:val="48"/>
          <w:u w:val="thick"/>
          <w:lang w:val="en-GB"/>
        </w:rPr>
        <w:t>0906</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0E63F500"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56436A" w:rsidRPr="0056436A">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25871986"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56436A" w:rsidRPr="0056436A">
        <w:rPr>
          <w:rFonts w:ascii="Times New Roman" w:hAnsi="Times New Roman" w:cs="Times New Roman"/>
          <w:noProof/>
          <w:snapToGrid w:val="0"/>
          <w:sz w:val="24"/>
          <w:szCs w:val="24"/>
          <w:lang w:val="en-GB"/>
        </w:rPr>
        <w:t>2023-01-20</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54B99D16"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56436A">
        <w:rPr>
          <w:rFonts w:ascii="Times New Roman" w:hAnsi="Times New Roman" w:cs="Times New Roman"/>
          <w:noProof/>
          <w:snapToGrid w:val="0"/>
          <w:sz w:val="24"/>
          <w:szCs w:val="24"/>
          <w:lang w:val="en-GB"/>
        </w:rPr>
        <w:t>6</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samsung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1C9B3222"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0"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64FFB3A3"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56436A" w:rsidRPr="0056436A">
        <w:rPr>
          <w:rFonts w:ascii="Times New Roman" w:eastAsia="SimSun" w:hAnsi="Times New Roman" w:cs="Times New Roman"/>
          <w:b/>
          <w:sz w:val="48"/>
          <w:szCs w:val="24"/>
          <w:lang w:val="en-GB" w:eastAsia="zh-CN"/>
        </w:rPr>
        <w:t>0906</w:t>
      </w:r>
      <w:r w:rsidR="004C352E" w:rsidRPr="0056436A">
        <w:rPr>
          <w:rFonts w:ascii="Times New Roman" w:eastAsia="SimSun" w:hAnsi="Times New Roman" w:cs="Times New Roman"/>
          <w:b/>
          <w:sz w:val="48"/>
          <w:szCs w:val="24"/>
          <w:lang w:val="en-GB" w:eastAsia="zh-CN"/>
        </w:rPr>
        <w:fldChar w:fldCharType="end"/>
      </w:r>
    </w:p>
    <w:p w14:paraId="40403B12" w14:textId="2FDB5A9E"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56436A">
        <w:rPr>
          <w:rFonts w:ascii="Times New Roman" w:eastAsia="SimSun" w:hAnsi="Times New Roman" w:cs="Times New Roman"/>
          <w:b/>
          <w:noProof/>
          <w:sz w:val="28"/>
          <w:szCs w:val="24"/>
          <w:lang w:val="en-GB" w:eastAsia="zh-CN"/>
        </w:rPr>
        <w:t>April</w:t>
      </w:r>
      <w:r w:rsidR="0056436A">
        <w:rPr>
          <w:rFonts w:ascii="Times New Roman" w:eastAsia="SimSun" w:hAnsi="Times New Roman" w:cs="Times New Roman"/>
          <w:b/>
          <w:noProof/>
          <w:sz w:val="28"/>
          <w:szCs w:val="24"/>
          <w:lang w:val="en-GB" w:eastAsia="zh-CN"/>
        </w:rPr>
        <w:t xml:space="preserve"> 2023</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56436A">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07F99028"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56436A" w:rsidRPr="0056436A">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2B350500"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56436A" w:rsidRPr="0056436A">
              <w:rPr>
                <w:rFonts w:ascii="Times New Roman" w:hAnsi="Times New Roman" w:cs="Times New Roman"/>
                <w:b/>
                <w:sz w:val="24"/>
                <w:szCs w:val="24"/>
                <w:lang w:val="en-GB"/>
              </w:rPr>
              <w:t>22649</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5D0EE71B" w14:textId="77777777" w:rsidR="0056436A" w:rsidRDefault="0056436A" w:rsidP="0018563E">
      <w:pPr>
        <w:rPr>
          <w:rFonts w:ascii="Times New Roman" w:hAnsi="Times New Roman" w:cs="Times New Roman"/>
          <w:sz w:val="24"/>
          <w:lang w:val="en-GB"/>
        </w:rPr>
      </w:pPr>
    </w:p>
    <w:p w14:paraId="647FEAFD" w14:textId="19C07356"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Add section</w:t>
      </w:r>
    </w:p>
    <w:p w14:paraId="700A7CD2" w14:textId="77777777" w:rsidR="0056436A" w:rsidRDefault="0056436A" w:rsidP="0018563E">
      <w:pPr>
        <w:rPr>
          <w:rFonts w:ascii="Times New Roman" w:hAnsi="Times New Roman" w:cs="Times New Roman"/>
          <w:sz w:val="24"/>
          <w:lang w:val="en-GB"/>
        </w:rPr>
      </w:pPr>
    </w:p>
    <w:p w14:paraId="5E2D9C6A"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 Signalling of confidence score region in  ISOBMFF</w:t>
      </w:r>
    </w:p>
    <w:p w14:paraId="16D66ABF"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9.x.x.1 General</w:t>
      </w:r>
    </w:p>
    <w:p w14:paraId="3AC9EBDE"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9.x.x.2  G-PCC Confidence Score Region structure </w:t>
      </w:r>
    </w:p>
    <w:p w14:paraId="6F6A6C40" w14:textId="77777777" w:rsidR="0056436A" w:rsidRDefault="0056436A" w:rsidP="0056436A">
      <w:pPr>
        <w:spacing w:after="240" w:line="240" w:lineRule="atLeast"/>
        <w:rPr>
          <w:rFonts w:asciiTheme="majorHAnsi" w:eastAsia="Malgun Gothic" w:hAnsiTheme="majorHAnsi" w:cs="Times New Roman"/>
          <w:lang w:eastAsia="ko-KR"/>
        </w:rPr>
      </w:pPr>
      <w:r>
        <w:rPr>
          <w:rFonts w:ascii="Courier New" w:eastAsia="Times New Roman" w:hAnsi="Courier New" w:cs="Courier New"/>
          <w:sz w:val="20"/>
          <w:szCs w:val="20"/>
          <w:lang w:val="en-NL" w:eastAsia="zh-CN"/>
        </w:rPr>
        <w:t>GPCCConfidenceScoreRegionStruct</w:t>
      </w:r>
      <w:r>
        <w:rPr>
          <w:rFonts w:asciiTheme="majorHAnsi" w:eastAsia="Malgun Gothic" w:hAnsiTheme="majorHAnsi" w:cs="Times New Roman"/>
          <w:lang w:eastAsia="ko-KR"/>
        </w:rPr>
        <w:t xml:space="preserve"> provides the confidence score of points within a given 3D spatial region.</w:t>
      </w:r>
    </w:p>
    <w:p w14:paraId="60C7D3D3"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9.x.x.2.1 Syntax</w:t>
      </w:r>
    </w:p>
    <w:p w14:paraId="6D163A2A"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val="en-NL" w:eastAsia="zh-CN"/>
        </w:rPr>
        <w:t>aligned(8) class GPCCConfidenceScoreRegionStruct() {</w:t>
      </w:r>
    </w:p>
    <w:p w14:paraId="08C24869"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int(16) region_id;</w:t>
      </w:r>
    </w:p>
    <w:p w14:paraId="20608E08"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int(1) bounding_box_present_flag;</w:t>
      </w:r>
    </w:p>
    <w:p w14:paraId="333590F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int(1) dimensions_included_flag;</w:t>
      </w:r>
    </w:p>
    <w:p w14:paraId="290809B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unsigned int(1) confidence_score_present_flag;</w:t>
      </w:r>
    </w:p>
    <w:p w14:paraId="34694FC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int(5) reserved;</w:t>
      </w:r>
    </w:p>
    <w:p w14:paraId="4725614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if(bounding_box_present_flag)</w:t>
      </w:r>
    </w:p>
    <w:p w14:paraId="0011A32F"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GPCCBoundingBox bounding_box(dimensions_included</w:t>
      </w:r>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val="en-NL" w:eastAsia="zh-CN"/>
        </w:rPr>
        <w:t>);</w:t>
      </w:r>
    </w:p>
    <w:p w14:paraId="3FADF30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w:t>
      </w:r>
    </w:p>
    <w:p w14:paraId="0F50384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if(confidence_score_present_flag) {</w:t>
      </w:r>
    </w:p>
    <w:p w14:paraId="138C6EF0"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unsigned int(8) confidence_score;</w:t>
      </w:r>
    </w:p>
    <w:p w14:paraId="0D88B0E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w:t>
      </w:r>
    </w:p>
    <w:p w14:paraId="4FF82F5E"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7F3DF69F" w14:textId="77777777" w:rsidR="0056436A" w:rsidRDefault="0056436A" w:rsidP="0056436A">
      <w:pPr>
        <w:rPr>
          <w:rFonts w:ascii="Times New Roman" w:eastAsiaTheme="minorEastAsia" w:hAnsi="Times New Roman"/>
          <w:sz w:val="24"/>
          <w:szCs w:val="24"/>
        </w:rPr>
      </w:pPr>
    </w:p>
    <w:p w14:paraId="072B2AED" w14:textId="77777777" w:rsidR="0056436A" w:rsidRDefault="0056436A" w:rsidP="0056436A">
      <w:pPr>
        <w:keepNext/>
        <w:tabs>
          <w:tab w:val="left" w:pos="1021"/>
        </w:tabs>
        <w:suppressAutoHyphens/>
        <w:spacing w:before="60" w:after="240" w:line="240" w:lineRule="atLeast"/>
        <w:outlineLvl w:val="4"/>
        <w:rPr>
          <w:rFonts w:asciiTheme="majorHAnsi" w:eastAsia="MS Mincho" w:hAnsiTheme="majorHAnsi" w:cs="Times New Roman"/>
          <w:b/>
          <w:lang w:val="en-GB" w:eastAsia="ja-JP"/>
        </w:rPr>
      </w:pPr>
      <w:r>
        <w:rPr>
          <w:rFonts w:asciiTheme="majorHAnsi" w:eastAsia="MS Mincho" w:hAnsiTheme="majorHAnsi" w:cs="Times New Roman"/>
          <w:b/>
          <w:lang w:val="en-GB" w:eastAsia="ja-JP"/>
        </w:rPr>
        <w:t>x.x.x.2.2 Semantics</w:t>
      </w:r>
    </w:p>
    <w:p w14:paraId="1E1A6EA3"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r>
        <w:rPr>
          <w:rFonts w:ascii="Courier" w:eastAsia="Times New Roman" w:hAnsi="Courier" w:cs="Times New Roman"/>
          <w:sz w:val="20"/>
          <w:lang w:eastAsia="ko-KR"/>
        </w:rPr>
        <w:t>region_id</w:t>
      </w:r>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r>
        <w:rPr>
          <w:rFonts w:eastAsia="Times New Roman" w:cs="Times New Roman"/>
          <w:szCs w:val="20"/>
          <w:lang w:eastAsia="ko-KR"/>
        </w:rPr>
        <w:t xml:space="preserve"> </w:t>
      </w:r>
    </w:p>
    <w:p w14:paraId="771320F4" w14:textId="77777777" w:rsidR="0056436A" w:rsidRDefault="0056436A" w:rsidP="0056436A">
      <w:pPr>
        <w:tabs>
          <w:tab w:val="left" w:pos="1701"/>
        </w:tabs>
        <w:spacing w:after="120"/>
        <w:ind w:left="720" w:hanging="360"/>
        <w:rPr>
          <w:rFonts w:ascii="Courier" w:eastAsia="Times New Roman" w:hAnsi="Courier" w:cs="Times New Roman"/>
          <w:sz w:val="20"/>
          <w:szCs w:val="24"/>
          <w:lang w:eastAsia="ko-KR"/>
        </w:rPr>
      </w:pPr>
      <w:r>
        <w:rPr>
          <w:rFonts w:ascii="Courier" w:eastAsia="Times New Roman" w:hAnsi="Courier" w:cs="Times New Roman"/>
          <w:sz w:val="20"/>
          <w:lang w:eastAsia="ko-KR"/>
        </w:rPr>
        <w:t>bounding_box_present_flag</w:t>
      </w:r>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r>
        <w:rPr>
          <w:rFonts w:ascii="Courier" w:eastAsia="Times New Roman" w:hAnsi="Courier" w:cs="Times New Roman"/>
          <w:sz w:val="20"/>
          <w:lang w:eastAsia="ko-KR"/>
        </w:rPr>
        <w:t>dimensions_included_flag</w:t>
      </w:r>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r>
        <w:rPr>
          <w:rFonts w:ascii="Courier" w:eastAsia="Times New Roman" w:hAnsi="Courier" w:cs="Times New Roman"/>
          <w:sz w:val="20"/>
          <w:lang w:eastAsia="ko-KR"/>
        </w:rPr>
        <w:t xml:space="preserve">bounding_box_present_flag </w:t>
      </w:r>
      <w:r>
        <w:rPr>
          <w:rFonts w:asciiTheme="majorHAnsi" w:hAnsiTheme="majorHAnsi" w:cs="Times New Roman"/>
          <w:sz w:val="20"/>
          <w:szCs w:val="20"/>
          <w:lang w:eastAsia="ko-KR"/>
        </w:rPr>
        <w:t>is set to 1.</w:t>
      </w:r>
    </w:p>
    <w:p w14:paraId="524FB5F1" w14:textId="77777777" w:rsidR="0056436A" w:rsidRDefault="0056436A" w:rsidP="0056436A">
      <w:pPr>
        <w:tabs>
          <w:tab w:val="left" w:pos="1701"/>
        </w:tabs>
        <w:ind w:left="714" w:hanging="357"/>
        <w:rPr>
          <w:rFonts w:ascii="Cambria" w:eastAsia="MS Mincho" w:hAnsi="Cambria"/>
          <w:sz w:val="20"/>
          <w:szCs w:val="20"/>
          <w:lang w:eastAsia="ko-KR"/>
        </w:rPr>
      </w:pPr>
      <w:r>
        <w:rPr>
          <w:rFonts w:ascii="Courier" w:eastAsia="MS Mincho" w:hAnsi="Courier"/>
          <w:sz w:val="20"/>
          <w:szCs w:val="20"/>
        </w:rPr>
        <w:t>confidence_score_present_flag</w:t>
      </w:r>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56436A">
      <w:pPr>
        <w:tabs>
          <w:tab w:val="left" w:pos="1701"/>
        </w:tabs>
        <w:ind w:left="714" w:hanging="357"/>
        <w:rPr>
          <w:rFonts w:ascii="Cambria" w:eastAsia="MS Mincho" w:hAnsi="Cambria"/>
          <w:sz w:val="20"/>
          <w:szCs w:val="20"/>
          <w:lang w:eastAsia="ko-KR"/>
        </w:rPr>
      </w:pPr>
      <w:r>
        <w:rPr>
          <w:rFonts w:ascii="Courier" w:eastAsia="MS Mincho" w:hAnsi="Courier"/>
          <w:sz w:val="20"/>
          <w:szCs w:val="20"/>
        </w:rPr>
        <w:t>confidence_score</w:t>
      </w:r>
      <w:r>
        <w:rPr>
          <w:rFonts w:ascii="Cambria" w:eastAsia="MS Mincho" w:hAnsi="Cambria"/>
          <w:sz w:val="20"/>
          <w:szCs w:val="20"/>
          <w:lang w:eastAsia="ko-KR"/>
        </w:rPr>
        <w:t xml:space="preserve"> indicates the degree of confidence in unit of 1/255 in the range of 0 to 1 for </w:t>
      </w:r>
      <w:r>
        <w:rPr>
          <w:rFonts w:ascii="Cambria" w:eastAsia="MS Mincho" w:hAnsi="Cambria"/>
          <w:lang w:eastAsia="ko-KR"/>
        </w:rPr>
        <w:t xml:space="preserve">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A signaled value of 0 expresses a score of 0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lowest. A signaled value of 255 expresses a score of 1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region is the highest. An application should take into account the confidence score when processing the data and deriving actions, results, interpretations, etc…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9.x.x.3 G-PCC Confidence Score Information</w:t>
      </w:r>
    </w:p>
    <w:p w14:paraId="09D0BC10"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'gcsr'</w:t>
      </w:r>
      <w:r>
        <w:rPr>
          <w:rFonts w:asciiTheme="majorHAnsi" w:hAnsiTheme="majorHAnsi"/>
        </w:rPr>
        <w:br/>
        <w:t>Container:</w:t>
      </w:r>
      <w:r>
        <w:rPr>
          <w:rFonts w:asciiTheme="majorHAnsi" w:hAnsiTheme="majorHAnsi"/>
          <w:lang w:eastAsia="ja-JP"/>
        </w:rPr>
        <w:tab/>
      </w:r>
      <w:r>
        <w:rPr>
          <w:rStyle w:val="codeChar"/>
          <w:rFonts w:ascii="Courier" w:eastAsia="Batang" w:hAnsi="Courier"/>
          <w:sz w:val="20"/>
        </w:rPr>
        <w:t>GPCCSampleEntry</w:t>
      </w:r>
      <w:r>
        <w:rPr>
          <w:rFonts w:asciiTheme="majorHAnsi" w:hAnsiTheme="majorHAnsi"/>
          <w:lang w:val="en-GB" w:eastAsia="ja-JP"/>
        </w:rPr>
        <w:t xml:space="preserve"> </w:t>
      </w:r>
      <w:r>
        <w:rPr>
          <w:rStyle w:val="codeChar"/>
          <w:rFonts w:ascii="Courier" w:eastAsia="Batang" w:hAnsi="Courier"/>
          <w:sz w:val="20"/>
        </w:rPr>
        <w:t xml:space="preserve">('gpe1', 'gpeg', 'gpc1', 'gpcg', 'gpeb', </w:t>
      </w:r>
      <w:r>
        <w:rPr>
          <w:lang w:eastAsia="ja-JP"/>
        </w:rPr>
        <w:tab/>
      </w:r>
      <w:r>
        <w:rPr>
          <w:lang w:eastAsia="ja-JP"/>
        </w:rPr>
        <w:tab/>
      </w:r>
      <w:r>
        <w:rPr>
          <w:lang w:eastAsia="ja-JP"/>
        </w:rPr>
        <w:tab/>
      </w:r>
      <w:r>
        <w:rPr>
          <w:lang w:eastAsia="ja-JP"/>
        </w:rPr>
        <w:tab/>
      </w:r>
      <w:r>
        <w:rPr>
          <w:rStyle w:val="codeChar"/>
          <w:rFonts w:ascii="Courier" w:eastAsia="Batang" w:hAnsi="Courier"/>
          <w:sz w:val="20"/>
        </w:rPr>
        <w:t>'gpcb')</w:t>
      </w:r>
      <w:r>
        <w:rPr>
          <w:rFonts w:asciiTheme="majorHAnsi" w:hAnsiTheme="majorHAnsi"/>
          <w:lang w:eastAsia="ja-JP"/>
        </w:rPr>
        <w:t xml:space="preserve"> or </w:t>
      </w:r>
      <w:r>
        <w:rPr>
          <w:rStyle w:val="codeChar"/>
          <w:rFonts w:ascii="Courier" w:eastAsia="Batang" w:hAnsi="Courier"/>
          <w:sz w:val="20"/>
        </w:rPr>
        <w:t>DynamicGPCCConfidenceScoreSampleEntry</w:t>
      </w:r>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w:t>
      </w:r>
      <w:r>
        <w:rPr>
          <w:rStyle w:val="codeChar"/>
          <w:rFonts w:ascii="Courier" w:eastAsia="Batang" w:hAnsi="Courier"/>
          <w:sz w:val="20"/>
          <w:szCs w:val="20"/>
        </w:rPr>
        <w:t xml:space="preserve">GPCCConfidenceScoreInfoBox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 xml:space="preserve">confidence score </w:t>
      </w:r>
      <w:r>
        <w:rPr>
          <w:rFonts w:asciiTheme="majorHAnsi" w:eastAsia="Malgun Gothic" w:hAnsiTheme="majorHAnsi"/>
        </w:rPr>
        <w:t xml:space="preserve">regions. </w:t>
      </w:r>
    </w:p>
    <w:p w14:paraId="64F1241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When the </w:t>
      </w:r>
      <w:r>
        <w:rPr>
          <w:rStyle w:val="codeChar"/>
          <w:rFonts w:ascii="Courier" w:eastAsia="Batang" w:hAnsi="Courier"/>
          <w:sz w:val="20"/>
          <w:szCs w:val="20"/>
        </w:rPr>
        <w:t xml:space="preserve">GPCCConfidenceScoreInfoBox </w:t>
      </w:r>
      <w:r>
        <w:rPr>
          <w:rFonts w:asciiTheme="majorHAnsi" w:eastAsia="Malgun Gothic" w:hAnsiTheme="majorHAnsi"/>
        </w:rPr>
        <w:t xml:space="preserve">is present in the sample entry of either a G-PCC track carrying all G-PCC bitstream or a G-PCC tile base track, it indicates the static </w:t>
      </w:r>
      <w:r>
        <w:rPr>
          <w:rFonts w:asciiTheme="majorHAnsi" w:eastAsia="Malgun Gothic" w:hAnsiTheme="majorHAnsi" w:cs="Times New Roman"/>
          <w:lang w:eastAsia="ko-KR"/>
        </w:rPr>
        <w:t>confidence score</w:t>
      </w:r>
      <w:r>
        <w:rPr>
          <w:rFonts w:asciiTheme="majorHAnsi" w:eastAsia="Malgun Gothic" w:hAnsiTheme="majorHAnsi"/>
        </w:rPr>
        <w:t xml:space="preserve"> region information of G-PCC data carried in either the track or all G-PCC tile tracks, respectively. </w:t>
      </w:r>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Syntax</w:t>
      </w:r>
    </w:p>
    <w:p w14:paraId="68046646"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
        </w:rPr>
        <w:t>GPCCConfidenceScoreInfoBox</w:t>
      </w:r>
      <w:r>
        <w:rPr>
          <w:rStyle w:val="line"/>
        </w:rPr>
        <w:t xml:space="preserve"> </w:t>
      </w:r>
    </w:p>
    <w:p w14:paraId="0BD46F8A" w14:textId="77777777" w:rsidR="0056436A" w:rsidRDefault="0056436A" w:rsidP="0056436A">
      <w:pPr>
        <w:pStyle w:val="HTMLPreformatted"/>
      </w:pPr>
      <w:r>
        <w:rPr>
          <w:rStyle w:val="n"/>
        </w:rPr>
        <w:t>extends</w:t>
      </w:r>
      <w:r>
        <w:rPr>
          <w:rStyle w:val="line"/>
        </w:rPr>
        <w:t xml:space="preserve"> </w:t>
      </w:r>
      <w:r>
        <w:rPr>
          <w:rStyle w:val="nf"/>
          <w:rFonts w:eastAsia="Arial"/>
        </w:rPr>
        <w:t>FullBox</w:t>
      </w:r>
      <w:r>
        <w:rPr>
          <w:rStyle w:val="p"/>
        </w:rPr>
        <w:t>(</w:t>
      </w:r>
      <w:r>
        <w:rPr>
          <w:rStyle w:val="err"/>
          <w:rFonts w:eastAsia="Arial"/>
        </w:rPr>
        <w:t>'</w:t>
      </w:r>
      <w:r>
        <w:rPr>
          <w:rStyle w:val="n"/>
        </w:rPr>
        <w:t>gcsr</w:t>
      </w:r>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p>
    <w:p w14:paraId="5985AC12" w14:textId="77777777" w:rsidR="0056436A" w:rsidRDefault="0056436A" w:rsidP="0056436A">
      <w:pPr>
        <w:pStyle w:val="HTMLPreformatted"/>
      </w:pPr>
      <w:r>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r>
        <w:rPr>
          <w:rStyle w:val="n"/>
        </w:rPr>
        <w:t>i</w:t>
      </w:r>
      <w:r>
        <w:rPr>
          <w:rStyle w:val="o"/>
        </w:rPr>
        <w:t>=</w:t>
      </w:r>
      <w:r>
        <w:rPr>
          <w:rStyle w:val="mi"/>
          <w:rFonts w:eastAsia="Arial"/>
        </w:rPr>
        <w:t>0</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r>
        <w:rPr>
          <w:rStyle w:val="line"/>
        </w:rPr>
        <w:t xml:space="preserve"> </w:t>
      </w:r>
      <w:r>
        <w:rPr>
          <w:rStyle w:val="p"/>
        </w:rPr>
        <w:t>{</w:t>
      </w:r>
    </w:p>
    <w:p w14:paraId="782709E0" w14:textId="77777777" w:rsidR="0056436A" w:rsidRDefault="0056436A" w:rsidP="0056436A">
      <w:pPr>
        <w:pStyle w:val="HTMLPreformatted"/>
      </w:pPr>
      <w:r>
        <w:rPr>
          <w:rStyle w:val="line"/>
        </w:rPr>
        <w:t xml:space="preserve">            </w:t>
      </w:r>
      <w:r>
        <w:rPr>
          <w:rStyle w:val="n"/>
        </w:rPr>
        <w:t>GPCCConfidenceScoreRegionStruct</w:t>
      </w:r>
      <w:r>
        <w:rPr>
          <w:rStyle w:val="line"/>
        </w:rPr>
        <w:t xml:space="preserve"> </w:t>
      </w:r>
      <w:r>
        <w:rPr>
          <w:rStyle w:val="n"/>
        </w:rPr>
        <w:t>region</w:t>
      </w:r>
      <w:r>
        <w:rPr>
          <w:rStyle w:val="p"/>
        </w:rPr>
        <w:t>();</w:t>
      </w:r>
    </w:p>
    <w:p w14:paraId="0CB2C054" w14:textId="77777777" w:rsidR="0056436A" w:rsidRDefault="0056436A" w:rsidP="0056436A">
      <w:pPr>
        <w:pStyle w:val="HTMLPreformatted"/>
      </w:pPr>
      <w:r>
        <w:rPr>
          <w:rStyle w:val="line"/>
        </w:rPr>
        <w:t xml:space="preserve">        </w:t>
      </w:r>
      <w:r>
        <w:rPr>
          <w:rStyle w:val="p"/>
        </w:rPr>
        <w:t>}</w:t>
      </w:r>
    </w:p>
    <w:p w14:paraId="408903FF" w14:textId="77777777" w:rsidR="0056436A" w:rsidRDefault="0056436A" w:rsidP="0056436A">
      <w:pPr>
        <w:pStyle w:val="HTMLPreformatted"/>
      </w:pPr>
      <w:r>
        <w:rPr>
          <w:rStyle w:val="p"/>
        </w:rPr>
        <w:t>}</w:t>
      </w:r>
    </w:p>
    <w:p w14:paraId="636B314A" w14:textId="77777777" w:rsidR="0056436A" w:rsidRDefault="0056436A" w:rsidP="0056436A"/>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9.x.x.3.3 Semantics</w:t>
      </w:r>
    </w:p>
    <w:p w14:paraId="4529CD57" w14:textId="77777777" w:rsidR="0056436A" w:rsidRDefault="0056436A" w:rsidP="0056436A">
      <w:pPr>
        <w:tabs>
          <w:tab w:val="left" w:pos="1701"/>
        </w:tabs>
        <w:ind w:left="540" w:hanging="360"/>
        <w:rPr>
          <w:rFonts w:asciiTheme="majorHAnsi" w:eastAsiaTheme="minorEastAsia" w:hAnsiTheme="majorHAnsi"/>
          <w:sz w:val="20"/>
          <w:szCs w:val="20"/>
        </w:rPr>
      </w:pPr>
      <w:r>
        <w:rPr>
          <w:rStyle w:val="codeChar"/>
          <w:rFonts w:ascii="Courier" w:eastAsia="Batang" w:hAnsi="Courier"/>
          <w:sz w:val="20"/>
          <w:szCs w:val="20"/>
        </w:rPr>
        <w:t>num_regions</w:t>
      </w:r>
      <w:r>
        <w:rPr>
          <w:rFonts w:asciiTheme="majorHAnsi" w:hAnsiTheme="majorHAnsi"/>
          <w:sz w:val="20"/>
          <w:szCs w:val="20"/>
        </w:rPr>
        <w:t xml:space="preserve"> indicate the number of confidence score regions.</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77777" w:rsidR="0056436A" w:rsidRDefault="0056436A"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region </w:t>
      </w:r>
      <w:r>
        <w:rPr>
          <w:rFonts w:asciiTheme="majorHAnsi" w:hAnsiTheme="majorHAnsi"/>
          <w:sz w:val="20"/>
          <w:szCs w:val="20"/>
        </w:rPr>
        <w:t>provides the confidence score region.</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Syntax</w:t>
      </w:r>
    </w:p>
    <w:p w14:paraId="272AFBE7"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aligned(8) class GPCCConfidenceScore</w:t>
      </w:r>
      <w:r>
        <w:rPr>
          <w:rFonts w:ascii="Courier New" w:eastAsia="Times New Roman" w:hAnsi="Courier New" w:cs="Courier New"/>
          <w:sz w:val="20"/>
          <w:szCs w:val="20"/>
          <w:lang w:val="en-GB" w:eastAsia="zh-CN"/>
        </w:rPr>
        <w:t>ConfigurationStruct</w:t>
      </w:r>
      <w:r>
        <w:rPr>
          <w:rFonts w:ascii="Courier New" w:eastAsia="Times New Roman" w:hAnsi="Courier New" w:cs="Courier New"/>
          <w:sz w:val="20"/>
          <w:szCs w:val="20"/>
          <w:lang w:val="en-NL" w:eastAsia="zh-CN"/>
        </w:rPr>
        <w:t>() {</w:t>
      </w:r>
    </w:p>
    <w:p w14:paraId="370E8198" w14:textId="77777777" w:rsidR="0056436A" w:rsidRDefault="0056436A" w:rsidP="0056436A">
      <w:pPr>
        <w:pStyle w:val="HTMLPreformatted"/>
      </w:pPr>
      <w:r>
        <w:rPr>
          <w:rStyle w:val="n"/>
        </w:rPr>
        <w:tab/>
        <w:t>bit</w:t>
      </w:r>
      <w:r>
        <w:rPr>
          <w:rStyle w:val="p"/>
        </w:rPr>
        <w:t>(</w:t>
      </w:r>
      <w:r>
        <w:rPr>
          <w:rStyle w:val="mi"/>
          <w:rFonts w:eastAsia="Arial"/>
        </w:rPr>
        <w:t>7</w:t>
      </w:r>
      <w:r>
        <w:rPr>
          <w:rStyle w:val="p"/>
        </w:rPr>
        <w:t>)</w:t>
      </w:r>
      <w:r>
        <w:rPr>
          <w:rStyle w:val="line"/>
        </w:rPr>
        <w:tab/>
      </w:r>
      <w:r>
        <w:rPr>
          <w:rStyle w:val="line"/>
        </w:rPr>
        <w:tab/>
      </w:r>
      <w:r>
        <w:rPr>
          <w:rStyle w:val="n"/>
        </w:rPr>
        <w:t>reserved</w:t>
      </w:r>
      <w:r>
        <w:rPr>
          <w:rStyle w:val="o"/>
        </w:rPr>
        <w:t>=</w:t>
      </w:r>
      <w:r>
        <w:rPr>
          <w:rStyle w:val="mi"/>
          <w:rFonts w:eastAsia="Arial"/>
        </w:rPr>
        <w:t>0</w:t>
      </w:r>
      <w:r>
        <w:rPr>
          <w:rStyle w:val="p"/>
        </w:rPr>
        <w:t>;</w:t>
      </w:r>
    </w:p>
    <w:p w14:paraId="428E724B"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ab/>
      </w:r>
      <w:r>
        <w:rPr>
          <w:rStyle w:val="n"/>
        </w:rPr>
        <w:t>dynamic_dimension_flag</w:t>
      </w:r>
      <w:r>
        <w:rPr>
          <w:rStyle w:val="p"/>
        </w:rPr>
        <w:t>;</w:t>
      </w:r>
    </w:p>
    <w:p w14:paraId="6DC38B6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01C8A8D2" w14:textId="77777777" w:rsidR="0056436A" w:rsidRDefault="0056436A" w:rsidP="0056436A">
      <w:pPr>
        <w:rPr>
          <w:rFonts w:asciiTheme="majorHAnsi" w:eastAsia="MS Mincho" w:hAnsiTheme="majorHAnsi" w:cs="Times New Roman"/>
          <w:b/>
          <w:lang w:val="en-GB" w:eastAsia="ja-JP"/>
        </w:rPr>
      </w:pPr>
    </w:p>
    <w:p w14:paraId="0A013A10" w14:textId="77777777" w:rsidR="0056436A" w:rsidRDefault="0056436A" w:rsidP="0056436A">
      <w:pPr>
        <w:rPr>
          <w:rFonts w:ascii="Times New Roman" w:eastAsiaTheme="minorEastAsia" w:hAnsi="Times New Roman"/>
          <w:sz w:val="24"/>
          <w:szCs w:val="24"/>
        </w:rPr>
      </w:pPr>
    </w:p>
    <w:p w14:paraId="6C1D2D03" w14:textId="77777777" w:rsidR="0056436A" w:rsidRDefault="0056436A" w:rsidP="0056436A">
      <w:pPr>
        <w:pStyle w:val="HTMLPreformatted"/>
      </w:pPr>
      <w:r>
        <w:rPr>
          <w:rStyle w:val="codeChar"/>
          <w:rFonts w:ascii="Courier" w:eastAsia="Batang" w:hAnsi="Courier"/>
          <w:lang w:val="en-US" w:eastAsia="en-US"/>
        </w:rPr>
        <w:t xml:space="preserve">aligned(8) </w:t>
      </w:r>
      <w:r>
        <w:rPr>
          <w:rStyle w:val="n"/>
        </w:rPr>
        <w:t>class</w:t>
      </w:r>
      <w:r>
        <w:rPr>
          <w:rStyle w:val="line"/>
        </w:rPr>
        <w:t xml:space="preserve"> </w:t>
      </w:r>
      <w:r>
        <w:rPr>
          <w:rStyle w:val="n"/>
        </w:rPr>
        <w:t>DynamicGPCCConfidenceScoreSampleEntry</w:t>
      </w:r>
      <w:r>
        <w:rPr>
          <w:rStyle w:val="line"/>
        </w:rPr>
        <w:t xml:space="preserve"> </w:t>
      </w:r>
      <w:r>
        <w:rPr>
          <w:rStyle w:val="n"/>
        </w:rPr>
        <w:t>extends</w:t>
      </w:r>
      <w:r>
        <w:rPr>
          <w:rStyle w:val="line"/>
        </w:rPr>
        <w:t xml:space="preserve"> </w:t>
      </w:r>
      <w:r>
        <w:rPr>
          <w:rStyle w:val="nf"/>
        </w:rPr>
        <w:t>MetaDataSampleEntry</w:t>
      </w:r>
      <w:r>
        <w:rPr>
          <w:rStyle w:val="p"/>
        </w:rPr>
        <w:t>(</w:t>
      </w:r>
      <w:r>
        <w:rPr>
          <w:rStyle w:val="err"/>
          <w:rFonts w:eastAsia="Arial"/>
        </w:rPr>
        <w:t>'</w:t>
      </w:r>
      <w:r>
        <w:rPr>
          <w:rStyle w:val="n"/>
        </w:rPr>
        <w:t>gcdc</w:t>
      </w:r>
      <w:r>
        <w:rPr>
          <w:rStyle w:val="err"/>
          <w:rFonts w:eastAsia="Arial"/>
        </w:rPr>
        <w:t>'</w:t>
      </w:r>
      <w:r>
        <w:rPr>
          <w:rStyle w:val="p"/>
        </w:rPr>
        <w:t>)</w:t>
      </w:r>
      <w:r>
        <w:rPr>
          <w:rStyle w:val="line"/>
        </w:rPr>
        <w:t xml:space="preserve"> </w:t>
      </w:r>
      <w:r>
        <w:rPr>
          <w:rStyle w:val="p"/>
        </w:rPr>
        <w:t>{</w:t>
      </w:r>
    </w:p>
    <w:p w14:paraId="3654BB93" w14:textId="77777777" w:rsidR="0056436A" w:rsidRDefault="0056436A" w:rsidP="0056436A">
      <w:pPr>
        <w:pStyle w:val="HTMLPreformatted"/>
      </w:pPr>
      <w:r>
        <w:rPr>
          <w:rStyle w:val="line"/>
        </w:rPr>
        <w:tab/>
      </w:r>
      <w:r>
        <w:rPr>
          <w:rStyle w:val="n"/>
        </w:rPr>
        <w:t>GPCCConfidenceScoreInfoBox</w:t>
      </w:r>
      <w:r>
        <w:rPr>
          <w:rStyle w:val="line"/>
        </w:rPr>
        <w:t xml:space="preserve"> </w:t>
      </w:r>
      <w:bookmarkStart w:id="0" w:name="_Hlk132837268"/>
      <w:r>
        <w:rPr>
          <w:rStyle w:val="n"/>
          <w:lang w:val="en-GB"/>
        </w:rPr>
        <w:t>info</w:t>
      </w:r>
      <w:r>
        <w:rPr>
          <w:rStyle w:val="p"/>
          <w:lang w:val="en-GB"/>
        </w:rPr>
        <w:t>_box</w:t>
      </w:r>
      <w:bookmarkEnd w:id="0"/>
      <w:r>
        <w:rPr>
          <w:rStyle w:val="p"/>
        </w:rPr>
        <w:t>;</w:t>
      </w:r>
    </w:p>
    <w:p w14:paraId="6BACCBE5" w14:textId="77777777" w:rsidR="0056436A" w:rsidRDefault="0056436A" w:rsidP="0056436A">
      <w:pPr>
        <w:pStyle w:val="HTMLPreformatted"/>
      </w:pPr>
      <w:r>
        <w:rPr>
          <w:rStyle w:val="line"/>
        </w:rPr>
        <w:tab/>
      </w:r>
      <w:r>
        <w:t>GPCCConfidenceScore</w:t>
      </w:r>
      <w:r>
        <w:rPr>
          <w:lang w:val="en-GB"/>
        </w:rPr>
        <w:t>ConfigurationStruct configuration;</w:t>
      </w:r>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RDefault="0056436A" w:rsidP="0056436A">
      <w:pPr>
        <w:tabs>
          <w:tab w:val="left" w:pos="1701"/>
        </w:tabs>
        <w:ind w:left="540" w:hanging="360"/>
        <w:rPr>
          <w:rFonts w:asciiTheme="majorHAnsi" w:eastAsia="Yu Mincho" w:hAnsiTheme="majorHAnsi"/>
          <w:sz w:val="20"/>
          <w:szCs w:val="20"/>
        </w:rPr>
      </w:pPr>
      <w:r>
        <w:rPr>
          <w:rStyle w:val="codeChar"/>
          <w:rFonts w:ascii="Courier" w:eastAsia="Batang" w:hAnsi="Courier"/>
          <w:sz w:val="20"/>
          <w:szCs w:val="20"/>
        </w:rPr>
        <w:t>dynamic_dimension_flag</w:t>
      </w:r>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w:t>
      </w:r>
      <w:r>
        <w:rPr>
          <w:rFonts w:asciiTheme="majorHAnsi" w:hAnsiTheme="majorHAnsi"/>
          <w:sz w:val="20"/>
          <w:szCs w:val="20"/>
        </w:rPr>
        <w:lastRenderedPageBreak/>
        <w:t xml:space="preserve">unchanged in all samples referring to this sample entry. </w:t>
      </w:r>
      <w:r>
        <w:rPr>
          <w:rStyle w:val="codeChar"/>
          <w:rFonts w:ascii="Courier" w:eastAsia="Batang" w:hAnsi="Courier"/>
          <w:sz w:val="20"/>
          <w:szCs w:val="20"/>
        </w:rPr>
        <w:t>dynamic_dimension_flag</w:t>
      </w:r>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RDefault="0056436A" w:rsidP="0056436A">
      <w:pPr>
        <w:rPr>
          <w:rFonts w:asciiTheme="majorHAnsi" w:eastAsia="MS Mincho" w:hAnsiTheme="majorHAnsi" w:cs="Times New Roman"/>
          <w:b/>
          <w:lang w:val="en-GB" w:eastAsia="ja-JP"/>
        </w:rPr>
      </w:pPr>
    </w:p>
    <w:p w14:paraId="0ED336F5" w14:textId="77777777" w:rsidR="0056436A" w:rsidRDefault="0056436A" w:rsidP="0056436A">
      <w:pPr>
        <w:rPr>
          <w:rFonts w:asciiTheme="majorHAnsi" w:eastAsia="MS Mincho" w:hAnsiTheme="majorHAnsi" w:cs="Times New Roman"/>
          <w:b/>
          <w:lang w:val="en-GB" w:eastAsia="ja-JP"/>
        </w:rPr>
      </w:pPr>
    </w:p>
    <w:p w14:paraId="57EFFB24" w14:textId="77777777" w:rsidR="0056436A" w:rsidRDefault="0056436A" w:rsidP="0056436A">
      <w:pPr>
        <w:tabs>
          <w:tab w:val="left" w:pos="1701"/>
        </w:tabs>
        <w:ind w:left="540" w:hanging="360"/>
        <w:rPr>
          <w:rFonts w:asciiTheme="majorHAnsi" w:eastAsiaTheme="minorEastAsia" w:hAnsiTheme="majorHAnsi"/>
          <w:color w:val="000000" w:themeColor="text1"/>
          <w:sz w:val="20"/>
          <w:szCs w:val="20"/>
        </w:rPr>
      </w:pPr>
      <w:r>
        <w:rPr>
          <w:rFonts w:ascii="Courier" w:eastAsia="Batang" w:hAnsi="Courier"/>
          <w:sz w:val="20"/>
          <w:szCs w:val="20"/>
          <w:lang w:val="en-GB" w:eastAsia="ja-JP"/>
        </w:rPr>
        <w:t xml:space="preserve">info_box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RDefault="0056436A" w:rsidP="0056436A">
      <w:pPr>
        <w:tabs>
          <w:tab w:val="left" w:pos="1701"/>
        </w:tabs>
        <w:ind w:left="540" w:hanging="360"/>
        <w:rPr>
          <w:rFonts w:asciiTheme="majorHAnsi" w:hAnsiTheme="majorHAnsi"/>
          <w:sz w:val="20"/>
          <w:szCs w:val="20"/>
        </w:rPr>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RDefault="0056436A" w:rsidP="0056436A">
      <w:pPr>
        <w:rPr>
          <w:rFonts w:ascii="Times New Roman" w:hAnsi="Times New Roman"/>
          <w:sz w:val="24"/>
          <w:szCs w:val="24"/>
        </w:rPr>
      </w:pPr>
    </w:p>
    <w:p w14:paraId="0ACEB9EA" w14:textId="77777777" w:rsidR="0056436A" w:rsidRDefault="0056436A" w:rsidP="0056436A"/>
    <w:p w14:paraId="37BEF86F"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56436A">
      <w:pPr>
        <w:spacing w:after="120"/>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77777777" w:rsidR="0056436A" w:rsidRDefault="0056436A" w:rsidP="0056436A">
      <w:pPr>
        <w:spacing w:after="120"/>
        <w:rPr>
          <w:rFonts w:ascii="Cambria" w:hAnsi="Cambria"/>
        </w:rPr>
      </w:pPr>
      <w:r>
        <w:rPr>
          <w:rFonts w:ascii="Cambria" w:hAnsi="Cambria"/>
        </w:rPr>
        <w:t xml:space="preserve">Sync samples in the confidence score region timed metadata shall carry the dimension for all G-PCC confidence score regions. In sync samples for all confidence score regions, the value of </w:t>
      </w:r>
      <w:r>
        <w:rPr>
          <w:rFonts w:ascii="Courier" w:hAnsi="Courier"/>
        </w:rPr>
        <w:t>dimensions_included_flag</w:t>
      </w:r>
      <w:r>
        <w:rPr>
          <w:rFonts w:ascii="Cambria" w:hAnsi="Cambria"/>
        </w:rPr>
        <w:t xml:space="preserve"> and </w:t>
      </w:r>
      <w:r>
        <w:rPr>
          <w:rFonts w:ascii="Courier" w:hAnsi="Courier"/>
        </w:rPr>
        <w:t>bounding_box_present_flag</w:t>
      </w:r>
      <w:r>
        <w:rPr>
          <w:rFonts w:ascii="Cambria" w:hAnsi="Cambria"/>
        </w:rPr>
        <w:t xml:space="preserve"> shall be set to 1. </w:t>
      </w:r>
    </w:p>
    <w:p w14:paraId="7A77A330" w14:textId="77777777" w:rsidR="0056436A" w:rsidRDefault="0056436A" w:rsidP="0056436A">
      <w:pPr>
        <w:spacing w:after="120"/>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56436A">
      <w:pPr>
        <w:spacing w:after="120"/>
        <w:rPr>
          <w:rFonts w:asciiTheme="majorHAnsi" w:eastAsia="MS Mincho" w:hAnsiTheme="majorHAnsi" w:cs="Times New Roman"/>
          <w:b/>
          <w:lang w:val="en-GB" w:eastAsia="ja-JP"/>
        </w:rPr>
      </w:pPr>
      <w:r>
        <w:rPr>
          <w:rFonts w:ascii="Cambria" w:hAnsi="Cambria"/>
        </w:rPr>
        <w:t xml:space="preserve">For Non-sync samples in this timed metadata track, the value of </w:t>
      </w:r>
      <w:r>
        <w:rPr>
          <w:rFonts w:ascii="Courier" w:eastAsia="Yu Mincho" w:hAnsi="Courier"/>
        </w:rPr>
        <w:t>canceled_region_flag</w:t>
      </w:r>
      <w:r>
        <w:rPr>
          <w:rFonts w:ascii="Cambria" w:hAnsi="Cambria"/>
        </w:rPr>
        <w:t xml:space="preserve"> shall be set to 1 when a confidence score region is cancelled with reference to the preceding sync sample. The value of </w:t>
      </w:r>
      <w:r>
        <w:rPr>
          <w:rFonts w:ascii="Courier" w:hAnsi="Courier"/>
        </w:rPr>
        <w:t>dimensions_included_flag</w:t>
      </w:r>
      <w:r>
        <w:rPr>
          <w:rFonts w:ascii="Cambria" w:hAnsi="Cambria"/>
        </w:rPr>
        <w:t xml:space="preserve"> shall only be set to 1, when the dimensions of a confidence score region in the current sample is updated with reference to the preceding sync sample. The value of </w:t>
      </w:r>
      <w:r>
        <w:rPr>
          <w:rFonts w:ascii="Courier" w:hAnsi="Courier"/>
        </w:rPr>
        <w:t>dimensions_included_flag</w:t>
      </w:r>
      <w:r>
        <w:rPr>
          <w:rFonts w:ascii="Cambria" w:hAnsi="Cambria"/>
        </w:rPr>
        <w:t xml:space="preserve"> shall be set to 0, </w:t>
      </w:r>
      <w:r>
        <w:rPr>
          <w:rFonts w:ascii="Cambria" w:hAnsi="Cambria"/>
          <w:lang w:eastAsia="ja-JP"/>
        </w:rPr>
        <w:t xml:space="preserve">when </w:t>
      </w:r>
      <w:r>
        <w:rPr>
          <w:rStyle w:val="codeChar"/>
          <w:rFonts w:ascii="Courier" w:eastAsia="Batang" w:hAnsi="Courier"/>
        </w:rPr>
        <w:t>dynamic_dimension_flag</w:t>
      </w:r>
      <w:r>
        <w:rPr>
          <w:rFonts w:ascii="Cambria" w:hAnsi="Cambria"/>
          <w:lang w:eastAsia="ja-JP"/>
        </w:rPr>
        <w:t xml:space="preserve"> in the referred sample entry equals to 0.</w:t>
      </w:r>
      <w:r>
        <w:rPr>
          <w:rFonts w:ascii="Cambria" w:hAnsi="Cambria"/>
        </w:rPr>
        <w:t xml:space="preserve"> The value of </w:t>
      </w:r>
      <w:r>
        <w:rPr>
          <w:rFonts w:ascii="Courier" w:hAnsi="Courier"/>
        </w:rPr>
        <w:t>bounding_box_present_flag</w:t>
      </w:r>
      <w:r>
        <w:rPr>
          <w:rFonts w:ascii="Cambria" w:hAnsi="Cambria"/>
        </w:rPr>
        <w:t xml:space="preserve"> shall only be set to 1, when the position and/or dimensions of a confidence score region in the current sample is updated with reference to the preceding sync sample. </w:t>
      </w:r>
    </w:p>
    <w:p w14:paraId="0AADBA6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  Sync samples</w:t>
      </w:r>
    </w:p>
    <w:p w14:paraId="45D4574F" w14:textId="77777777" w:rsidR="0056436A" w:rsidRDefault="0056436A" w:rsidP="0056436A">
      <w:pPr>
        <w:rPr>
          <w:rFonts w:ascii="Times New Roman" w:eastAsiaTheme="minorEastAsia" w:hAnsi="Times New Roman"/>
          <w:sz w:val="24"/>
          <w:szCs w:val="24"/>
        </w:rPr>
      </w:pPr>
    </w:p>
    <w:p w14:paraId="7E264863"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'gcdc'</w:t>
      </w:r>
      <w:r>
        <w:rPr>
          <w:rFonts w:asciiTheme="majorHAnsi" w:eastAsia="Malgun Gothic" w:hAnsiTheme="majorHAnsi"/>
        </w:rPr>
        <w:t xml:space="preserve"> is specified as follows:</w:t>
      </w:r>
    </w:p>
    <w:p w14:paraId="68295CC7"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5D92ADE" w14:textId="77777777" w:rsidR="0056436A" w:rsidRDefault="0056436A" w:rsidP="0056436A">
      <w:pPr>
        <w:pStyle w:val="HTMLPreformatted"/>
        <w:rPr>
          <w:rStyle w:val="p"/>
        </w:rPr>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r>
        <w:br/>
      </w:r>
    </w:p>
    <w:p w14:paraId="474E41B1" w14:textId="77777777" w:rsidR="0056436A" w:rsidRDefault="0056436A" w:rsidP="0056436A">
      <w:pPr>
        <w:pStyle w:val="HTMLPreformatted"/>
      </w:pPr>
    </w:p>
    <w:p w14:paraId="203B023D" w14:textId="77777777" w:rsidR="0056436A" w:rsidRDefault="0056436A" w:rsidP="0056436A">
      <w:pPr>
        <w:pStyle w:val="HTMLPreformatted"/>
      </w:pPr>
      <w:r>
        <w:rPr>
          <w:rStyle w:val="line"/>
        </w:rPr>
        <w:tab/>
      </w:r>
      <w:r>
        <w:rPr>
          <w:rStyle w:val="k"/>
        </w:rPr>
        <w:t>for</w:t>
      </w:r>
      <w:r>
        <w:rPr>
          <w:rStyle w:val="line"/>
        </w:rPr>
        <w:t xml:space="preserve"> </w:t>
      </w:r>
      <w:r>
        <w:rPr>
          <w:rStyle w:val="p"/>
        </w:rPr>
        <w:t>(</w:t>
      </w:r>
      <w:r>
        <w:rPr>
          <w:rStyle w:val="n"/>
        </w:rPr>
        <w:t>i</w:t>
      </w:r>
      <w:r>
        <w:rPr>
          <w:rStyle w:val="o"/>
        </w:rPr>
        <w:t>=</w:t>
      </w:r>
      <w:r>
        <w:rPr>
          <w:rStyle w:val="mi"/>
          <w:rFonts w:eastAsia="Arial"/>
        </w:rPr>
        <w:t>1</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p>
    <w:p w14:paraId="12D196F5" w14:textId="77777777" w:rsidR="0056436A" w:rsidRDefault="0056436A" w:rsidP="0056436A">
      <w:pPr>
        <w:pStyle w:val="HTMLPreformatted"/>
      </w:pPr>
      <w:r>
        <w:rPr>
          <w:rStyle w:val="line"/>
        </w:rPr>
        <w:t xml:space="preserve">        </w:t>
      </w:r>
      <w:r>
        <w:rPr>
          <w:rStyle w:val="line"/>
        </w:rPr>
        <w:tab/>
      </w:r>
      <w:r>
        <w:rPr>
          <w:rStyle w:val="n"/>
        </w:rPr>
        <w:t>GPCCConfidenceScoreRegionStruct</w:t>
      </w:r>
      <w:r>
        <w:rPr>
          <w:rStyle w:val="line"/>
        </w:rPr>
        <w:t xml:space="preserve"> </w:t>
      </w:r>
      <w:r>
        <w:rPr>
          <w:rStyle w:val="n"/>
        </w:rPr>
        <w:t>score_region</w:t>
      </w:r>
      <w:r>
        <w:rPr>
          <w:rStyle w:val="p"/>
        </w:rPr>
        <w:t>;</w:t>
      </w:r>
    </w:p>
    <w:p w14:paraId="0D9902B5" w14:textId="77777777" w:rsidR="0056436A" w:rsidRDefault="0056436A" w:rsidP="0056436A">
      <w:pPr>
        <w:pStyle w:val="HTMLPreformatted"/>
      </w:pPr>
    </w:p>
    <w:p w14:paraId="42099B17" w14:textId="77777777" w:rsidR="0056436A" w:rsidRDefault="0056436A" w:rsidP="0056436A">
      <w:pPr>
        <w:pStyle w:val="HTMLPreformatted"/>
      </w:pPr>
      <w:r>
        <w:rPr>
          <w:rStyle w:val="line"/>
        </w:rPr>
        <w:tab/>
      </w:r>
      <w:r>
        <w:rPr>
          <w:rStyle w:val="p"/>
        </w:rPr>
        <w:t>}</w:t>
      </w:r>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9.x.x.4.2.2  Semantics</w:t>
      </w:r>
    </w:p>
    <w:p w14:paraId="790EFC34" w14:textId="77777777" w:rsidR="0056436A" w:rsidRDefault="0056436A" w:rsidP="0056436A">
      <w:pPr>
        <w:pStyle w:val="HTMLPreformatted"/>
      </w:pPr>
    </w:p>
    <w:p w14:paraId="4EEE4230" w14:textId="77777777" w:rsidR="0056436A" w:rsidRDefault="0056436A" w:rsidP="0056436A">
      <w:pPr>
        <w:tabs>
          <w:tab w:val="left" w:pos="1701"/>
        </w:tabs>
        <w:ind w:left="720" w:hanging="360"/>
      </w:pPr>
      <w:r>
        <w:rPr>
          <w:rFonts w:ascii="Courier" w:hAnsi="Courier"/>
        </w:rPr>
        <w:t xml:space="preserve">num_regions </w:t>
      </w:r>
      <w:r>
        <w:rPr>
          <w:rFonts w:asciiTheme="majorHAnsi" w:eastAsia="Malgun Gothic" w:hAnsiTheme="majorHAnsi"/>
        </w:rPr>
        <w:t xml:space="preserve">indicate the number of updated confidence score regions signalled in the </w:t>
      </w:r>
      <w:r>
        <w:rPr>
          <w:rFonts w:asciiTheme="majorHAnsi" w:eastAsia="Malgun Gothic" w:hAnsiTheme="majorHAnsi"/>
        </w:rPr>
        <w:lastRenderedPageBreak/>
        <w:t>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56436A">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r>
        <w:rPr>
          <w:rFonts w:ascii="Courier New" w:eastAsia="Yu Mincho" w:hAnsi="Courier New"/>
        </w:rPr>
        <w:t>score_region</w:t>
      </w:r>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r>
        <w:rPr>
          <w:rFonts w:ascii="Courier" w:hAnsi="Courier"/>
          <w:sz w:val="20"/>
        </w:rPr>
        <w:t>dimensions_included_flag</w:t>
      </w:r>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r>
        <w:rPr>
          <w:rFonts w:ascii="Courier" w:hAnsi="Courier"/>
          <w:sz w:val="20"/>
        </w:rPr>
        <w:t>bounding_box_present_flag</w:t>
      </w:r>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  Non-Sync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r>
        <w:rPr>
          <w:rStyle w:val="nf"/>
          <w:rFonts w:eastAsia="Arial"/>
        </w:rPr>
        <w:t>ConfidenceScore</w:t>
      </w:r>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2FD9309" w14:textId="77777777" w:rsidR="0056436A" w:rsidRDefault="0056436A" w:rsidP="0056436A">
      <w:pPr>
        <w:pStyle w:val="HTMLPreformatted"/>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num_regions</w:t>
      </w:r>
      <w:r>
        <w:rPr>
          <w:rStyle w:val="p"/>
        </w:rPr>
        <w:t>;</w:t>
      </w:r>
    </w:p>
    <w:p w14:paraId="24FE8235" w14:textId="77777777" w:rsidR="0056436A" w:rsidRDefault="0056436A" w:rsidP="0056436A">
      <w:pPr>
        <w:pStyle w:val="HTMLPreformatted"/>
      </w:pPr>
      <w:r>
        <w:rPr>
          <w:rStyle w:val="line"/>
        </w:rPr>
        <w:tab/>
      </w:r>
      <w:r>
        <w:rPr>
          <w:rStyle w:val="k"/>
        </w:rPr>
        <w:t>for</w:t>
      </w:r>
      <w:r>
        <w:rPr>
          <w:rStyle w:val="line"/>
        </w:rPr>
        <w:t xml:space="preserve"> </w:t>
      </w:r>
      <w:r>
        <w:rPr>
          <w:rStyle w:val="p"/>
        </w:rPr>
        <w:t>(</w:t>
      </w:r>
      <w:r>
        <w:rPr>
          <w:rStyle w:val="n"/>
        </w:rPr>
        <w:t>i</w:t>
      </w:r>
      <w:r>
        <w:rPr>
          <w:rStyle w:val="o"/>
        </w:rPr>
        <w:t>=</w:t>
      </w:r>
      <w:r>
        <w:rPr>
          <w:rStyle w:val="mi"/>
          <w:rFonts w:eastAsia="Arial"/>
        </w:rPr>
        <w:t>1</w:t>
      </w:r>
      <w:r>
        <w:rPr>
          <w:rStyle w:val="p"/>
        </w:rPr>
        <w:t>;</w:t>
      </w:r>
      <w:r>
        <w:rPr>
          <w:rStyle w:val="line"/>
        </w:rPr>
        <w:t xml:space="preserve"> </w:t>
      </w:r>
      <w:r>
        <w:rPr>
          <w:rStyle w:val="n"/>
        </w:rPr>
        <w:t>i</w:t>
      </w:r>
      <w:r>
        <w:rPr>
          <w:rStyle w:val="line"/>
        </w:rPr>
        <w:t xml:space="preserve"> </w:t>
      </w:r>
      <w:r>
        <w:rPr>
          <w:rStyle w:val="o"/>
        </w:rPr>
        <w:t>&lt;=</w:t>
      </w:r>
      <w:r>
        <w:rPr>
          <w:rStyle w:val="line"/>
        </w:rPr>
        <w:t xml:space="preserve"> </w:t>
      </w:r>
      <w:r>
        <w:rPr>
          <w:rStyle w:val="n"/>
        </w:rPr>
        <w:t>num_regions</w:t>
      </w:r>
      <w:r>
        <w:rPr>
          <w:rStyle w:val="p"/>
        </w:rPr>
        <w:t>;</w:t>
      </w:r>
      <w:r>
        <w:rPr>
          <w:rStyle w:val="line"/>
        </w:rPr>
        <w:t xml:space="preserve"> </w:t>
      </w:r>
      <w:r>
        <w:rPr>
          <w:rStyle w:val="n"/>
        </w:rPr>
        <w:t>i</w:t>
      </w:r>
      <w:r>
        <w:rPr>
          <w:rStyle w:val="o"/>
        </w:rPr>
        <w:t>++</w:t>
      </w:r>
      <w:r>
        <w:rPr>
          <w:rStyle w:val="p"/>
        </w:rPr>
        <w:t>){</w:t>
      </w:r>
    </w:p>
    <w:p w14:paraId="52D5FF19"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r>
        <w:rPr>
          <w:rStyle w:val="n"/>
        </w:rPr>
        <w:t>canceled_region_flag</w:t>
      </w:r>
      <w:r>
        <w:rPr>
          <w:rStyle w:val="p"/>
        </w:rPr>
        <w:t>;</w:t>
      </w:r>
    </w:p>
    <w:p w14:paraId="76A845BC"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p>
    <w:p w14:paraId="30882D77" w14:textId="77777777" w:rsidR="0056436A" w:rsidRDefault="0056436A" w:rsidP="0056436A">
      <w:pPr>
        <w:pStyle w:val="HTMLPreformatted"/>
      </w:pPr>
      <w:r>
        <w:rPr>
          <w:rStyle w:val="line"/>
        </w:rPr>
        <w:t xml:space="preserve">            </w:t>
      </w:r>
      <w:r>
        <w:rPr>
          <w:rStyle w:val="k"/>
        </w:rPr>
        <w:t>if</w:t>
      </w:r>
      <w:r>
        <w:rPr>
          <w:rStyle w:val="p"/>
        </w:rPr>
        <w:t>(</w:t>
      </w:r>
      <w:r>
        <w:rPr>
          <w:rStyle w:val="o"/>
        </w:rPr>
        <w:t>!</w:t>
      </w:r>
      <w:r>
        <w:rPr>
          <w:rStyle w:val="n"/>
        </w:rPr>
        <w:t>canceled_region_flag</w:t>
      </w:r>
      <w:r>
        <w:rPr>
          <w:rStyle w:val="p"/>
        </w:rPr>
        <w:t>)</w:t>
      </w:r>
    </w:p>
    <w:p w14:paraId="734504EB" w14:textId="77777777" w:rsidR="0056436A" w:rsidRDefault="0056436A" w:rsidP="0056436A">
      <w:pPr>
        <w:pStyle w:val="HTMLPreformatted"/>
      </w:pPr>
      <w:r>
        <w:rPr>
          <w:rStyle w:val="line"/>
        </w:rPr>
        <w:t xml:space="preserve">                </w:t>
      </w:r>
      <w:r>
        <w:rPr>
          <w:rStyle w:val="n"/>
        </w:rPr>
        <w:t>GPCCConfidenceScoreRegionStruct</w:t>
      </w:r>
      <w:r>
        <w:rPr>
          <w:rStyle w:val="line"/>
        </w:rPr>
        <w:t xml:space="preserve"> </w:t>
      </w:r>
      <w:r>
        <w:rPr>
          <w:rStyle w:val="n"/>
        </w:rPr>
        <w:t>score_region</w:t>
      </w:r>
      <w:r>
        <w:rPr>
          <w:rStyle w:val="p"/>
        </w:rPr>
        <w:t>;</w:t>
      </w:r>
    </w:p>
    <w:p w14:paraId="39DAB1A5" w14:textId="77777777" w:rsidR="0056436A" w:rsidRDefault="0056436A" w:rsidP="0056436A">
      <w:pPr>
        <w:pStyle w:val="HTMLPreformatted"/>
      </w:pPr>
      <w:r>
        <w:rPr>
          <w:rStyle w:val="line"/>
        </w:rPr>
        <w:t xml:space="preserve">            </w:t>
      </w:r>
      <w:r>
        <w:rPr>
          <w:rStyle w:val="k"/>
        </w:rPr>
        <w:t>else</w:t>
      </w:r>
    </w:p>
    <w:p w14:paraId="15DDCD9A"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r>
        <w:rPr>
          <w:rStyle w:val="n"/>
        </w:rPr>
        <w:t>region_id</w:t>
      </w:r>
      <w:r>
        <w:rPr>
          <w:rStyle w:val="p"/>
        </w:rPr>
        <w:t>;</w:t>
      </w:r>
    </w:p>
    <w:p w14:paraId="79254B6F" w14:textId="77777777" w:rsidR="0056436A" w:rsidRDefault="0056436A" w:rsidP="0056436A">
      <w:pPr>
        <w:pStyle w:val="HTMLPreformatted"/>
      </w:pPr>
    </w:p>
    <w:p w14:paraId="26CBCDE6" w14:textId="77777777" w:rsidR="0056436A" w:rsidRDefault="0056436A" w:rsidP="0056436A">
      <w:pPr>
        <w:pStyle w:val="HTMLPreformatted"/>
      </w:pPr>
      <w:r>
        <w:rPr>
          <w:rStyle w:val="line"/>
        </w:rPr>
        <w:tab/>
      </w:r>
      <w:r>
        <w:rPr>
          <w:rStyle w:val="p"/>
        </w:rPr>
        <w:t>}</w:t>
      </w:r>
    </w:p>
    <w:p w14:paraId="73A6ABAC" w14:textId="77777777" w:rsidR="0056436A" w:rsidRDefault="0056436A" w:rsidP="0056436A">
      <w:pPr>
        <w:pStyle w:val="HTMLPreformatted"/>
      </w:pPr>
      <w:r>
        <w:rPr>
          <w:rStyle w:val="p"/>
        </w:rPr>
        <w:t>}</w:t>
      </w:r>
    </w:p>
    <w:p w14:paraId="5C14CB63" w14:textId="77777777" w:rsidR="0056436A" w:rsidRDefault="0056436A" w:rsidP="0056436A">
      <w:pPr>
        <w:rPr>
          <w:rFonts w:asciiTheme="majorHAnsi" w:eastAsia="MS Mincho" w:hAnsiTheme="majorHAnsi" w:cs="Times New Roman"/>
          <w:b/>
          <w:lang w:val="en-GB" w:eastAsia="ja-JP"/>
        </w:rPr>
      </w:pPr>
    </w:p>
    <w:p w14:paraId="24CB7001" w14:textId="77777777" w:rsidR="0056436A" w:rsidRDefault="0056436A" w:rsidP="0056436A">
      <w:pPr>
        <w:pStyle w:val="HTMLPreformatted"/>
      </w:pPr>
    </w:p>
    <w:p w14:paraId="2B94A471"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pPr>
      <w:r>
        <w:rPr>
          <w:rFonts w:ascii="Courier" w:hAnsi="Courier"/>
        </w:rPr>
        <w:t xml:space="preserve">num_regions </w:t>
      </w:r>
      <w:r>
        <w:rPr>
          <w:rFonts w:asciiTheme="majorHAnsi" w:eastAsia="Malgun Gothic" w:hAnsiTheme="majorHAnsi"/>
        </w:rPr>
        <w:t>indicate the number of updated confidence score regions signalled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7ECC1CC7" w14:textId="77777777" w:rsidR="0056436A" w:rsidRDefault="0056436A" w:rsidP="0056436A">
      <w:pPr>
        <w:tabs>
          <w:tab w:val="left" w:pos="1701"/>
        </w:tabs>
        <w:ind w:left="720" w:hanging="360"/>
      </w:pPr>
      <w:r>
        <w:rPr>
          <w:rFonts w:ascii="Courier New" w:eastAsia="Yu Mincho" w:hAnsi="Courier New"/>
        </w:rPr>
        <w:t xml:space="preserve">canceled_region_flag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56436A">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r>
        <w:rPr>
          <w:rFonts w:ascii="Courier New" w:eastAsia="Yu Mincho" w:hAnsi="Courier New"/>
        </w:rPr>
        <w:t>score_region</w:t>
      </w:r>
      <w:r>
        <w:rPr>
          <w:rStyle w:val="codeChar"/>
          <w:rFonts w:ascii="Courier" w:eastAsia="Batang" w:hAnsi="Courier"/>
        </w:rPr>
        <w:t xml:space="preserve"> </w:t>
      </w:r>
      <w:r>
        <w:rPr>
          <w:rFonts w:ascii="Cambria" w:hAnsi="Cambria"/>
        </w:rPr>
        <w:t xml:space="preserve">provides the confidence region data when this sample is applied. </w:t>
      </w:r>
      <w:r>
        <w:rPr>
          <w:rFonts w:ascii="Courier" w:hAnsi="Courier"/>
        </w:rPr>
        <w:t xml:space="preserve">dimensions_included_flag </w:t>
      </w:r>
      <w:r>
        <w:rPr>
          <w:rFonts w:ascii="Cambria" w:hAnsi="Cambria"/>
        </w:rPr>
        <w:t xml:space="preserve">value shall only be set to 1 when the dimensions of this confidence region are updated with reference to the previous sync sample. The value of </w:t>
      </w:r>
      <w:r>
        <w:rPr>
          <w:rFonts w:ascii="Courier" w:hAnsi="Courier"/>
        </w:rPr>
        <w:t>dimensions_included_flag</w:t>
      </w:r>
      <w:r>
        <w:rPr>
          <w:rFonts w:ascii="Cambria" w:hAnsi="Cambria"/>
        </w:rPr>
        <w:t xml:space="preserve"> shall be set to 0, </w:t>
      </w:r>
      <w:r>
        <w:rPr>
          <w:rFonts w:ascii="Cambria" w:hAnsi="Cambria"/>
          <w:lang w:eastAsia="ja-JP"/>
        </w:rPr>
        <w:t xml:space="preserve">when </w:t>
      </w:r>
      <w:r>
        <w:rPr>
          <w:rStyle w:val="codeChar"/>
          <w:rFonts w:ascii="Courier" w:eastAsia="Batang" w:hAnsi="Courier"/>
        </w:rPr>
        <w:t>dynamic_dimension_flag</w:t>
      </w:r>
      <w:r>
        <w:rPr>
          <w:rFonts w:ascii="Cambria" w:hAnsi="Cambria"/>
          <w:lang w:eastAsia="ja-JP"/>
        </w:rPr>
        <w:t xml:space="preserve"> in the referred sample entry equals to 0.</w:t>
      </w:r>
      <w:r>
        <w:rPr>
          <w:rFonts w:ascii="Cambria" w:hAnsi="Cambria"/>
        </w:rPr>
        <w:t xml:space="preserve"> </w:t>
      </w:r>
      <w:r>
        <w:rPr>
          <w:rFonts w:ascii="Courier" w:hAnsi="Courier"/>
        </w:rPr>
        <w:t>bounding_box_present_flag</w:t>
      </w:r>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r>
        <w:rPr>
          <w:rFonts w:ascii="Courier New" w:hAnsi="Courier New" w:cs="Courier New"/>
        </w:rPr>
        <w:t xml:space="preserve">region_id </w:t>
      </w:r>
      <w:r>
        <w:rPr>
          <w:rFonts w:ascii="Cambria" w:hAnsi="Cambria"/>
        </w:rPr>
        <w:t>identifies a cancelled confidence region with reference to the previous sync sample.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2E3E7174" w14:textId="1FC4D3DF" w:rsidR="00BC1590" w:rsidRDefault="00BC1590">
      <w:pPr>
        <w:rPr>
          <w:rFonts w:ascii="Times New Roman" w:hAnsi="Times New Roman" w:cs="Times New Roman"/>
          <w:sz w:val="24"/>
          <w:lang w:val="en-GB"/>
        </w:rPr>
      </w:pPr>
    </w:p>
    <w:sectPr w:rsidR="00BC1590" w:rsidSect="00BC1590">
      <w:headerReference w:type="default" r:id="rId11"/>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49ABF" w14:textId="77777777" w:rsidR="002D5311" w:rsidRDefault="002D5311" w:rsidP="009E784A">
      <w:r>
        <w:separator/>
      </w:r>
    </w:p>
  </w:endnote>
  <w:endnote w:type="continuationSeparator" w:id="0">
    <w:p w14:paraId="5D36F7EE" w14:textId="77777777" w:rsidR="002D5311" w:rsidRDefault="002D531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DB54F" w14:textId="77777777" w:rsidR="002D5311" w:rsidRDefault="002D5311" w:rsidP="009E784A">
      <w:r>
        <w:separator/>
      </w:r>
    </w:p>
  </w:footnote>
  <w:footnote w:type="continuationSeparator" w:id="0">
    <w:p w14:paraId="6ED24F89" w14:textId="77777777" w:rsidR="002D5311" w:rsidRDefault="002D531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63789"/>
    <w:rsid w:val="002D5311"/>
    <w:rsid w:val="003226C8"/>
    <w:rsid w:val="00385C5D"/>
    <w:rsid w:val="003B0FC6"/>
    <w:rsid w:val="003F4C08"/>
    <w:rsid w:val="004C352E"/>
    <w:rsid w:val="004E459B"/>
    <w:rsid w:val="004E45B6"/>
    <w:rsid w:val="004F5473"/>
    <w:rsid w:val="00540DEA"/>
    <w:rsid w:val="005612C2"/>
    <w:rsid w:val="0056436A"/>
    <w:rsid w:val="005C2A51"/>
    <w:rsid w:val="00622C6C"/>
    <w:rsid w:val="0063127E"/>
    <w:rsid w:val="00651912"/>
    <w:rsid w:val="007F537F"/>
    <w:rsid w:val="00804D88"/>
    <w:rsid w:val="00805670"/>
    <w:rsid w:val="00827179"/>
    <w:rsid w:val="00881CCB"/>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semiHidden/>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NL" w:eastAsia="zh-CN"/>
    </w:rPr>
  </w:style>
  <w:style w:type="character" w:customStyle="1" w:styleId="HTMLPreformattedChar">
    <w:name w:val="HTML Preformatted Char"/>
    <w:basedOn w:val="DefaultParagraphFont"/>
    <w:link w:val="HTMLPreformatted"/>
    <w:uiPriority w:val="99"/>
    <w:semiHidden/>
    <w:rsid w:val="0056436A"/>
    <w:rPr>
      <w:rFonts w:ascii="Courier New" w:eastAsia="Times New Roman" w:hAnsi="Courier New" w:cs="Courier New"/>
      <w:sz w:val="20"/>
      <w:szCs w:val="20"/>
      <w:lang w:val="en-NL"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sotc.iso.org/livelink/livelink/open/jtc1sc29wg3"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6C4C9F93-3B8E-47A0-BFEB-CA212ACEF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1435</Words>
  <Characters>8185</Characters>
  <Application>Microsoft Office Word</Application>
  <DocSecurity>0</DocSecurity>
  <Lines>68</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9601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3</cp:revision>
  <dcterms:created xsi:type="dcterms:W3CDTF">2023-01-20T08:18:00Z</dcterms:created>
  <dcterms:modified xsi:type="dcterms:W3CDTF">2023-04-28T14:27:00Z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0906</vt:lpwstr>
  </property>
  <property fmtid="{D5CDD505-2E9C-101B-9397-08002B2CF9AE}" pid="3" name="MDMSNumber">
    <vt:lpwstr>22649</vt:lpwstr>
  </property>
</Properties>
</file>