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512EFC50"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D86929">
        <w:rPr>
          <w:rFonts w:ascii="Times New Roman" w:hAnsi="Times New Roman"/>
          <w:w w:val="115"/>
          <w:sz w:val="48"/>
          <w:szCs w:val="48"/>
          <w:u w:val="thick"/>
        </w:rPr>
        <w:t>N</w:t>
      </w:r>
      <w:bookmarkEnd w:id="5"/>
      <w:r w:rsidR="00CA419E">
        <w:rPr>
          <w:rFonts w:ascii="Times New Roman" w:hAnsi="Times New Roman"/>
          <w:spacing w:val="28"/>
          <w:w w:val="115"/>
          <w:sz w:val="48"/>
          <w:szCs w:val="48"/>
          <w:u w:val="thick"/>
        </w:rPr>
        <w:t>0601</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30C3FAB9"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D86929">
        <w:rPr>
          <w:rFonts w:eastAsia="Arial"/>
          <w:snapToGrid w:val="0"/>
        </w:rPr>
        <w:t>2</w:t>
      </w:r>
      <w:r w:rsidRPr="00A4408C">
        <w:rPr>
          <w:rFonts w:eastAsia="Arial"/>
          <w:snapToGrid w:val="0"/>
        </w:rPr>
        <w:t>-</w:t>
      </w:r>
      <w:r w:rsidR="007414C8">
        <w:rPr>
          <w:rFonts w:eastAsia="Arial"/>
          <w:snapToGrid w:val="0"/>
        </w:rPr>
        <w:t>0</w:t>
      </w:r>
      <w:r w:rsidR="00D86929">
        <w:rPr>
          <w:rFonts w:eastAsia="Arial"/>
          <w:snapToGrid w:val="0"/>
        </w:rPr>
        <w:t>7</w:t>
      </w:r>
      <w:r w:rsidRPr="00A4408C">
        <w:rPr>
          <w:rFonts w:eastAsia="Arial"/>
          <w:snapToGrid w:val="0"/>
        </w:rPr>
        <w:t>-</w:t>
      </w:r>
      <w:r w:rsidR="007414C8">
        <w:rPr>
          <w:rFonts w:eastAsia="Arial"/>
          <w:snapToGrid w:val="0"/>
        </w:rPr>
        <w:t>2</w:t>
      </w:r>
      <w:r w:rsidR="00D86929">
        <w:rPr>
          <w:rFonts w:eastAsia="Arial"/>
          <w:snapToGrid w:val="0"/>
        </w:rPr>
        <w:t>2</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6" w:name="_Toc54196195"/>
      <w:bookmarkStart w:id="7" w:name="_Toc54196455"/>
      <w:bookmarkStart w:id="8" w:name="_Toc54206271"/>
      <w:bookmarkStart w:id="9" w:name="_Toc55166891"/>
      <w:bookmarkStart w:id="10" w:name="_Toc87377905"/>
      <w:bookmarkStart w:id="11" w:name="_Toc109206397"/>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6"/>
      <w:bookmarkEnd w:id="7"/>
      <w:bookmarkEnd w:id="8"/>
      <w:bookmarkEnd w:id="9"/>
      <w:bookmarkEnd w:id="10"/>
      <w:bookmarkEnd w:id="11"/>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2" w:name="_Toc54196196"/>
      <w:bookmarkStart w:id="13" w:name="_Toc54196456"/>
      <w:bookmarkStart w:id="14" w:name="_Toc54206272"/>
      <w:bookmarkStart w:id="15" w:name="_Toc55166892"/>
      <w:bookmarkStart w:id="16" w:name="_Toc87377906"/>
      <w:bookmarkStart w:id="17" w:name="_Toc109206398"/>
      <w:r w:rsidRPr="00A4408C">
        <w:rPr>
          <w:rFonts w:eastAsia="Arial"/>
          <w:b/>
          <w:bCs/>
          <w:snapToGrid w:val="0"/>
        </w:rPr>
        <w:t>Action due date:</w:t>
      </w:r>
      <w:r w:rsidRPr="00A4408C">
        <w:rPr>
          <w:rFonts w:eastAsia="Arial"/>
          <w:bCs/>
          <w:snapToGrid w:val="0"/>
        </w:rPr>
        <w:tab/>
        <w:t>None</w:t>
      </w:r>
      <w:bookmarkEnd w:id="12"/>
      <w:bookmarkEnd w:id="13"/>
      <w:bookmarkEnd w:id="14"/>
      <w:bookmarkEnd w:id="15"/>
      <w:bookmarkEnd w:id="16"/>
      <w:bookmarkEnd w:id="17"/>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BCDB053"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1206F1">
        <w:rPr>
          <w:rFonts w:eastAsia="Arial"/>
          <w:snapToGrid w:val="0"/>
        </w:rPr>
        <w:t>15</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宋体"/>
          <w:b/>
          <w:sz w:val="28"/>
          <w:lang w:val="en-GB" w:eastAsia="zh-CN"/>
        </w:rPr>
      </w:pPr>
      <w:r>
        <w:rPr>
          <w:rFonts w:eastAsia="宋体"/>
          <w:b/>
          <w:sz w:val="28"/>
          <w:lang w:val="en-GB" w:eastAsia="zh-CN"/>
        </w:rPr>
        <w:lastRenderedPageBreak/>
        <w:t>INTERNATIONAL ORGANIZATION FOR STANDARDIZATION</w:t>
      </w:r>
    </w:p>
    <w:p w14:paraId="5D72720F" w14:textId="77777777" w:rsidR="008174FE" w:rsidRDefault="008174FE" w:rsidP="008174FE">
      <w:pPr>
        <w:jc w:val="center"/>
        <w:rPr>
          <w:rFonts w:eastAsia="宋体"/>
          <w:b/>
          <w:sz w:val="28"/>
          <w:lang w:val="en-GB" w:eastAsia="zh-CN"/>
        </w:rPr>
      </w:pPr>
      <w:r>
        <w:rPr>
          <w:rFonts w:eastAsia="宋体"/>
          <w:b/>
          <w:sz w:val="28"/>
          <w:lang w:val="en-GB" w:eastAsia="zh-CN"/>
        </w:rPr>
        <w:t>ORGANISATION INTERNATIONALE DE NORMALISATION</w:t>
      </w:r>
    </w:p>
    <w:p w14:paraId="0A8E94FA" w14:textId="77777777" w:rsidR="008174FE" w:rsidRDefault="008174FE" w:rsidP="008174FE">
      <w:pPr>
        <w:jc w:val="center"/>
        <w:rPr>
          <w:rFonts w:eastAsia="宋体"/>
          <w:b/>
          <w:sz w:val="28"/>
          <w:lang w:val="en-GB" w:eastAsia="zh-CN"/>
        </w:rPr>
      </w:pPr>
      <w:r>
        <w:rPr>
          <w:rFonts w:eastAsia="宋体"/>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42855BC4" w:rsidR="008174FE" w:rsidRDefault="008174FE" w:rsidP="008174FE">
      <w:pPr>
        <w:jc w:val="right"/>
        <w:rPr>
          <w:rFonts w:eastAsia="宋体"/>
          <w:b/>
          <w:sz w:val="48"/>
          <w:lang w:val="en-GB" w:eastAsia="zh-CN"/>
        </w:rPr>
      </w:pPr>
      <w:r>
        <w:rPr>
          <w:rFonts w:eastAsia="宋体"/>
          <w:b/>
          <w:sz w:val="28"/>
          <w:lang w:val="en-GB" w:eastAsia="zh-CN"/>
        </w:rPr>
        <w:t xml:space="preserve">ISO/IEC JTC 1/SC 29/WG 03 </w:t>
      </w:r>
      <w:r>
        <w:rPr>
          <w:rFonts w:eastAsia="宋体"/>
          <w:b/>
          <w:sz w:val="48"/>
          <w:lang w:val="en-GB" w:eastAsia="zh-CN"/>
        </w:rPr>
        <w:t>N</w:t>
      </w:r>
      <w:r w:rsidR="00CA419E">
        <w:rPr>
          <w:rFonts w:eastAsia="宋体"/>
          <w:b/>
          <w:sz w:val="48"/>
          <w:lang w:val="en-GB" w:eastAsia="zh-CN"/>
        </w:rPr>
        <w:t>0601</w:t>
      </w:r>
    </w:p>
    <w:p w14:paraId="19DF8BE7" w14:textId="54975FCE" w:rsidR="008174FE" w:rsidRDefault="00D86929" w:rsidP="008174FE">
      <w:pPr>
        <w:jc w:val="right"/>
        <w:rPr>
          <w:rFonts w:eastAsia="宋体"/>
          <w:b/>
          <w:sz w:val="28"/>
          <w:lang w:val="en-GB" w:eastAsia="zh-CN"/>
        </w:rPr>
      </w:pPr>
      <w:r>
        <w:rPr>
          <w:rFonts w:eastAsia="宋体"/>
          <w:b/>
          <w:sz w:val="28"/>
          <w:lang w:val="en-GB" w:eastAsia="zh-CN"/>
        </w:rPr>
        <w:t>Ju</w:t>
      </w:r>
      <w:r w:rsidR="004033EA">
        <w:rPr>
          <w:rFonts w:eastAsia="宋体"/>
          <w:b/>
          <w:sz w:val="28"/>
          <w:lang w:val="en-GB" w:eastAsia="zh-CN"/>
        </w:rPr>
        <w:t>ly</w:t>
      </w:r>
      <w:r w:rsidR="0050330C">
        <w:rPr>
          <w:rFonts w:eastAsia="宋体"/>
          <w:b/>
          <w:sz w:val="28"/>
          <w:lang w:val="en-GB" w:eastAsia="zh-CN"/>
        </w:rPr>
        <w:t xml:space="preserve"> </w:t>
      </w:r>
      <w:r w:rsidR="008174FE">
        <w:rPr>
          <w:rFonts w:eastAsia="宋体"/>
          <w:b/>
          <w:sz w:val="28"/>
          <w:lang w:val="en-GB" w:eastAsia="zh-CN"/>
        </w:rPr>
        <w:t>202</w:t>
      </w:r>
      <w:r w:rsidR="0050330C">
        <w:rPr>
          <w:rFonts w:eastAsia="宋体"/>
          <w:b/>
          <w:sz w:val="28"/>
          <w:lang w:val="en-GB" w:eastAsia="zh-CN"/>
        </w:rPr>
        <w:t>2</w:t>
      </w:r>
      <w:r w:rsidR="008174FE">
        <w:rPr>
          <w:rFonts w:eastAsia="宋体"/>
          <w:b/>
          <w:sz w:val="28"/>
          <w:lang w:val="en-GB" w:eastAsia="zh-CN"/>
        </w:rPr>
        <w:t>, Virtual</w:t>
      </w:r>
    </w:p>
    <w:p w14:paraId="3006CF32" w14:textId="77777777" w:rsidR="008174FE" w:rsidRDefault="008174FE" w:rsidP="008174FE">
      <w:pPr>
        <w:jc w:val="right"/>
        <w:rPr>
          <w:rFonts w:eastAsia="宋体"/>
          <w:b/>
          <w:sz w:val="28"/>
          <w:lang w:val="en-GB" w:eastAsia="zh-CN"/>
        </w:rPr>
      </w:pPr>
    </w:p>
    <w:p w14:paraId="10478670" w14:textId="77777777" w:rsidR="008174FE" w:rsidRDefault="008174FE" w:rsidP="008174FE">
      <w:pPr>
        <w:jc w:val="right"/>
        <w:rPr>
          <w:rFonts w:eastAsia="宋体"/>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3BB51673" w:rsidR="00A4408C" w:rsidRDefault="00CA419E" w:rsidP="00A4408C">
            <w:pPr>
              <w:suppressAutoHyphens/>
              <w:rPr>
                <w:b/>
              </w:rPr>
            </w:pPr>
            <w:r>
              <w:rPr>
                <w:b/>
                <w:bCs/>
              </w:rPr>
              <w:t>21</w:t>
            </w:r>
            <w:r w:rsidR="00120E06">
              <w:rPr>
                <w:b/>
                <w:bCs/>
              </w:rPr>
              <w:t>730</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155B1A47"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Pr="00C91B15">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A1534C">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A1534C">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A1534C">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A1534C">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A1534C">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A1534C">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A1534C">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18" w:name="_Toc109206399"/>
      <w:r>
        <w:t>Improvement of Security descriptor (</w:t>
      </w:r>
      <w:r w:rsidR="00905057">
        <w:t>proposed in m50768)</w:t>
      </w:r>
      <w:bookmarkEnd w:id="18"/>
    </w:p>
    <w:p w14:paraId="01252BAC" w14:textId="77777777" w:rsidR="00F468C0" w:rsidRDefault="00F468C0" w:rsidP="00F468C0">
      <w:pPr>
        <w:pStyle w:val="Heading2"/>
        <w:rPr>
          <w:sz w:val="32"/>
          <w:szCs w:val="32"/>
        </w:rPr>
      </w:pPr>
      <w:bookmarkStart w:id="19" w:name="_Toc109206400"/>
      <w:r>
        <w:t>Introduction</w:t>
      </w:r>
      <w:bookmarkEnd w:id="19"/>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20" w:name="_Toc109206401"/>
      <w:r>
        <w:rPr>
          <w:rFonts w:eastAsia="Malgun Gothic"/>
          <w:lang w:eastAsia="ko-KR"/>
        </w:rPr>
        <w:t xml:space="preserve">Previous contribution for supporting protected function </w:t>
      </w:r>
      <w:proofErr w:type="spellStart"/>
      <w:r>
        <w:rPr>
          <w:rFonts w:eastAsia="Malgun Gothic"/>
          <w:lang w:eastAsia="ko-KR"/>
        </w:rPr>
        <w:t>usecase</w:t>
      </w:r>
      <w:bookmarkEnd w:id="20"/>
      <w:proofErr w:type="spellEnd"/>
    </w:p>
    <w:p w14:paraId="64470E6B" w14:textId="77777777" w:rsidR="00F468C0" w:rsidRDefault="00F468C0" w:rsidP="00F468C0">
      <w:r>
        <w:t xml:space="preserve">For accessing the protected resource of NBMP services, authorization mechanisms </w:t>
      </w:r>
      <w:proofErr w:type="gramStart"/>
      <w:r>
        <w:t>have to</w:t>
      </w:r>
      <w:proofErr w:type="gramEnd"/>
      <w:r>
        <w:t xml:space="preserve">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21" w:name="_Toc109206402"/>
      <w:r>
        <w:t>Authorization for the protected resource</w:t>
      </w:r>
      <w:bookmarkEnd w:id="21"/>
      <w:r>
        <w:t xml:space="preserve"> </w:t>
      </w:r>
    </w:p>
    <w:p w14:paraId="653632F0" w14:textId="3BAF7BE5" w:rsidR="00F468C0" w:rsidRDefault="00F468C0" w:rsidP="00F468C0">
      <w:pPr>
        <w:pStyle w:val="Heading3"/>
      </w:pPr>
      <w:bookmarkStart w:id="22" w:name="_Toc109206403"/>
      <w:r>
        <w:t>Authorization done by NBMP source</w:t>
      </w:r>
      <w:bookmarkEnd w:id="22"/>
      <w:r>
        <w:t xml:space="preserve"> </w:t>
      </w:r>
    </w:p>
    <w:p w14:paraId="6B4D14F3" w14:textId="77777777"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source 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23" w:name="_Toc109206404"/>
      <w:r w:rsidRPr="00F468C0">
        <w:t>Authorization</w:t>
      </w:r>
      <w:r>
        <w:t xml:space="preserve"> done by NBMP Workflow Manager</w:t>
      </w:r>
      <w:bookmarkEnd w:id="23"/>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24" w:name="_Toc109206405"/>
      <w:r>
        <w:rPr>
          <w:rFonts w:eastAsia="Malgun Gothic"/>
          <w:lang w:eastAsia="ko-KR"/>
        </w:rPr>
        <w:t>Proposed update for supporting private function usage</w:t>
      </w:r>
      <w:bookmarkEnd w:id="24"/>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25" w:name="_Toc109206406"/>
      <w:r w:rsidRPr="0095048C">
        <w:rPr>
          <w:rFonts w:eastAsia="Malgun Gothic"/>
          <w:lang w:eastAsia="ko-KR"/>
        </w:rPr>
        <w:t xml:space="preserve">Proposed </w:t>
      </w:r>
      <w:proofErr w:type="spellStart"/>
      <w:r w:rsidRPr="0095048C">
        <w:rPr>
          <w:rFonts w:eastAsia="Malgun Gothic"/>
          <w:lang w:eastAsia="ko-KR"/>
        </w:rPr>
        <w:t>Usecase</w:t>
      </w:r>
      <w:bookmarkEnd w:id="25"/>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26" w:name="_Toc109206407"/>
      <w:r w:rsidRPr="0095048C">
        <w:rPr>
          <w:rFonts w:eastAsia="Malgun Gothic"/>
        </w:rPr>
        <w:t>Proposal</w:t>
      </w:r>
      <w:r w:rsidRPr="0095048C">
        <w:rPr>
          <w:rFonts w:eastAsia="Malgun Gothic"/>
          <w:lang w:eastAsia="ko-KR"/>
        </w:rPr>
        <w:t xml:space="preserve"> for update current security parameter</w:t>
      </w:r>
      <w:bookmarkEnd w:id="26"/>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27" w:name="_Toc109206408"/>
      <w:r>
        <w:rPr>
          <w:b w:val="0"/>
          <w:bCs w:val="0"/>
        </w:rPr>
        <w:t>9.6.1.13</w:t>
      </w:r>
      <w:r>
        <w:rPr>
          <w:b w:val="0"/>
          <w:bCs w:val="0"/>
        </w:rPr>
        <w:tab/>
        <w:t>Security parameters</w:t>
      </w:r>
      <w:bookmarkEnd w:id="27"/>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w:t>
            </w:r>
            <w:proofErr w:type="gramStart"/>
            <w:r>
              <w:rPr>
                <w:lang w:eastAsia="ja-JP"/>
              </w:rPr>
              <w:t>are:</w:t>
            </w:r>
            <w:proofErr w:type="gramEnd"/>
            <w:r>
              <w:rPr>
                <w:lang w:eastAsia="ja-JP"/>
              </w:rPr>
              <w:t xml:space="preserv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28" w:name="_Toc109206409"/>
      <w:r>
        <w:t>Update of Dynamic resource update on NBMP</w:t>
      </w:r>
      <w:bookmarkEnd w:id="28"/>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29" w:name="_Toc109206410"/>
      <w:r>
        <w:t xml:space="preserve">NBMP </w:t>
      </w:r>
      <w:r w:rsidR="00595C42">
        <w:t xml:space="preserve">Workflow </w:t>
      </w:r>
      <w:r>
        <w:t xml:space="preserve">and task </w:t>
      </w:r>
      <w:r w:rsidR="00595C42">
        <w:t>Scheduling</w:t>
      </w:r>
      <w:bookmarkEnd w:id="29"/>
    </w:p>
    <w:p w14:paraId="3B4D7C3F" w14:textId="5DA88F19" w:rsidR="005F6958" w:rsidRDefault="00FC3BC1" w:rsidP="00595C42">
      <w:pPr>
        <w:pStyle w:val="Heading3"/>
      </w:pPr>
      <w:bookmarkStart w:id="30" w:name="_Toc109206411"/>
      <w:proofErr w:type="gramStart"/>
      <w:r>
        <w:t>Schedule</w:t>
      </w:r>
      <w:r w:rsidR="00CF2613">
        <w:t>d-time</w:t>
      </w:r>
      <w:proofErr w:type="gramEnd"/>
      <w:r w:rsidR="00CF2613">
        <w:t xml:space="preserve"> (</w:t>
      </w:r>
      <w:r w:rsidR="009B4842">
        <w:t>m</w:t>
      </w:r>
      <w:r w:rsidR="009B4842" w:rsidRPr="009B4842">
        <w:t>56729</w:t>
      </w:r>
      <w:r w:rsidR="009B4842">
        <w:t>)</w:t>
      </w:r>
      <w:bookmarkEnd w:id="30"/>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TuC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r w:rsidR="006D4201">
        <w:fldChar w:fldCharType="begin"/>
      </w:r>
      <w:r w:rsidR="006D4201">
        <w:instrText xml:space="preserve"> SEQ Figure \* ARABIC </w:instrText>
      </w:r>
      <w:r w:rsidR="006D4201">
        <w:fldChar w:fldCharType="separate"/>
      </w:r>
      <w:r>
        <w:rPr>
          <w:noProof/>
        </w:rPr>
        <w:t>1</w:t>
      </w:r>
      <w:r w:rsidR="006D4201">
        <w:rPr>
          <w:noProof/>
        </w:rPr>
        <w:fldChar w:fldCharType="end"/>
      </w:r>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r w:rsidR="006D4201">
        <w:fldChar w:fldCharType="begin"/>
      </w:r>
      <w:r w:rsidR="006D4201">
        <w:instrText xml:space="preserve"> SEQ Figure \* ARABIC </w:instrText>
      </w:r>
      <w:r w:rsidR="006D4201">
        <w:fldChar w:fldCharType="separate"/>
      </w:r>
      <w:r>
        <w:rPr>
          <w:noProof/>
        </w:rPr>
        <w:t>2</w:t>
      </w:r>
      <w:r w:rsidR="006D4201">
        <w:rPr>
          <w:noProof/>
        </w:rPr>
        <w:fldChar w:fldCharType="end"/>
      </w:r>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w:t>
      </w:r>
      <w:proofErr w:type="gramStart"/>
      <w:r>
        <w:rPr>
          <w:bCs/>
        </w:rPr>
        <w:t>e.g.</w:t>
      </w:r>
      <w:proofErr w:type="gramEnd"/>
      <w:r>
        <w:rPr>
          <w:bCs/>
        </w:rPr>
        <w:t xml:space="preserve">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31" w:name="_Toc109206412"/>
      <w:r>
        <w:rPr>
          <w:color w:val="808080" w:themeColor="background1" w:themeShade="80"/>
        </w:rPr>
        <w:t>Task Group</w:t>
      </w:r>
      <w:bookmarkEnd w:id="31"/>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w:t>
            </w:r>
            <w:proofErr w:type="gramStart"/>
            <w:r>
              <w:rPr>
                <w:color w:val="808080" w:themeColor="background1" w:themeShade="80"/>
                <w:sz w:val="20"/>
                <w:szCs w:val="20"/>
                <w:vertAlign w:val="subscript"/>
              </w:rPr>
              <w:t>1)m</w:t>
            </w:r>
            <w:proofErr w:type="gramEnd"/>
            <w:r>
              <w:rPr>
                <w:color w:val="808080" w:themeColor="background1" w:themeShade="80"/>
                <w:sz w:val="20"/>
                <w:szCs w:val="20"/>
                <w:vertAlign w:val="subscript"/>
              </w:rPr>
              <w:t>(k-1)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w:t>
            </w:r>
            <w:proofErr w:type="gramStart"/>
            <w:r>
              <w:rPr>
                <w:color w:val="000000" w:themeColor="text1"/>
                <w:sz w:val="20"/>
                <w:szCs w:val="20"/>
              </w:rPr>
              <w:t>see</w:t>
            </w:r>
            <w:proofErr w:type="gramEnd"/>
            <w:r>
              <w:rPr>
                <w:color w:val="000000" w:themeColor="text1"/>
                <w:sz w:val="20"/>
                <w:szCs w:val="20"/>
              </w:rPr>
              <w:t xml:space="preserv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32" w:name="_jd439jcgs39n"/>
      <w:bookmarkEnd w:id="32"/>
    </w:p>
    <w:p w14:paraId="381755EE" w14:textId="77777777" w:rsidR="007823DC" w:rsidRDefault="00901C5F" w:rsidP="007823DC">
      <w:pPr>
        <w:pStyle w:val="Header1"/>
        <w:rPr>
          <w:lang w:val="en-GB"/>
        </w:rPr>
      </w:pPr>
      <w:bookmarkStart w:id="33"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33"/>
    </w:p>
    <w:p w14:paraId="4EBE682A" w14:textId="15D70FD7" w:rsidR="007823DC" w:rsidRPr="007823DC" w:rsidRDefault="007823DC" w:rsidP="007823DC">
      <w:pPr>
        <w:pStyle w:val="Heading2"/>
        <w:rPr>
          <w:sz w:val="32"/>
          <w:szCs w:val="32"/>
          <w:lang w:val="en-GB" w:eastAsia="ja-JP"/>
        </w:rPr>
      </w:pPr>
      <w:bookmarkStart w:id="34" w:name="_Toc109206414"/>
      <w:r>
        <w:rPr>
          <w:lang w:eastAsia="zh-CN"/>
        </w:rPr>
        <w:t>Introduction</w:t>
      </w:r>
      <w:bookmarkEnd w:id="34"/>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w:t>
      </w:r>
      <w:proofErr w:type="gramStart"/>
      <w:r>
        <w:t>requires  accurate</w:t>
      </w:r>
      <w:proofErr w:type="gramEnd"/>
      <w:r>
        <w:t xml:space="preserve"> timing to couple with the metadata (object bounding boxes) and video frames. FIG 2 is an example illustrating the case where media rate (</w:t>
      </w:r>
      <w:proofErr w:type="gramStart"/>
      <w:r>
        <w:t>e.g.</w:t>
      </w:r>
      <w:proofErr w:type="gramEnd"/>
      <w:r>
        <w:t xml:space="preserve">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w:t>
      </w:r>
      <w:proofErr w:type="gramStart"/>
      <w:r>
        <w:t>e.g.</w:t>
      </w:r>
      <w:proofErr w:type="gramEnd"/>
      <w:r>
        <w:t xml:space="preserve">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35" w:name="_Toc109206415"/>
      <w:r>
        <w:t>Proposed design</w:t>
      </w:r>
      <w:bookmarkEnd w:id="35"/>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xml:space="preserve">”, which makes the metadata stream different from the correspondent I/O media streams. It is required, </w:t>
      </w:r>
      <w:proofErr w:type="gramStart"/>
      <w:r>
        <w:rPr>
          <w:lang w:val="en-GB"/>
        </w:rPr>
        <w:t>in order to</w:t>
      </w:r>
      <w:proofErr w:type="gramEnd"/>
      <w:r>
        <w:rPr>
          <w:lang w:val="en-GB"/>
        </w:rPr>
        <w:t xml:space="preserve">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36" w:name="_Toc109206416"/>
      <w:r>
        <w:t>Discussion at MPEG#134</w:t>
      </w:r>
      <w:bookmarkEnd w:id="36"/>
    </w:p>
    <w:p w14:paraId="3098E0F1" w14:textId="17CBA741" w:rsidR="00ED1F9F" w:rsidRDefault="00A1534C"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TuC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37" w:name="_Toc109206417"/>
      <w:r>
        <w:t>Defects under investigation</w:t>
      </w:r>
      <w:bookmarkEnd w:id="37"/>
    </w:p>
    <w:p w14:paraId="0FBD3B30" w14:textId="412787A3" w:rsidR="00460553" w:rsidRDefault="00460553" w:rsidP="00460553">
      <w:pPr>
        <w:pStyle w:val="Heading2"/>
      </w:pPr>
      <w:bookmarkStart w:id="38" w:name="_Toc109206418"/>
      <w:r>
        <w:t>Port mapping</w:t>
      </w:r>
      <w:bookmarkEnd w:id="38"/>
    </w:p>
    <w:p w14:paraId="248B56ED" w14:textId="45658C33" w:rsidR="00460553" w:rsidRPr="00460553" w:rsidRDefault="00460553" w:rsidP="00120E06">
      <w:pPr>
        <w:pStyle w:val="Heading3"/>
      </w:pPr>
      <w:bookmarkStart w:id="39" w:name="_Toc109206419"/>
      <w:r>
        <w:t>Problem</w:t>
      </w:r>
      <w:bookmarkEnd w:id="39"/>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 xml:space="preserve">2. The bind object has two items: </w:t>
      </w:r>
      <w:proofErr w:type="spellStart"/>
      <w:r>
        <w:t>stream_id</w:t>
      </w:r>
      <w:proofErr w:type="spellEnd"/>
      <w:r>
        <w:t xml:space="preserve"> and name, both required. It is not clear why name is required.</w:t>
      </w:r>
    </w:p>
    <w:p w14:paraId="481868F6" w14:textId="51C2865D" w:rsidR="00460553" w:rsidRDefault="00460553" w:rsidP="00460553">
      <w:r>
        <w:t>3. It seems th</w:t>
      </w:r>
      <w:r w:rsidR="00903EEC">
        <w:t>a</w:t>
      </w:r>
      <w:r>
        <w:t>t “</w:t>
      </w:r>
      <w:proofErr w:type="spellStart"/>
      <w:r>
        <w:t>stre</w:t>
      </w:r>
      <w:r w:rsidR="005137A0">
        <w:t>a</w:t>
      </w:r>
      <w:r>
        <w:t>m_id</w:t>
      </w:r>
      <w:proofErr w:type="spellEnd"/>
      <w:r>
        <w:t>” is used to bind a port-name to an input/output. But the text is not clear. Moreover, T</w:t>
      </w:r>
      <w:r w:rsidR="005137A0">
        <w:t>a</w:t>
      </w:r>
      <w:r>
        <w:t xml:space="preserve">ble 1 prohibits the use of </w:t>
      </w:r>
      <w:proofErr w:type="spellStart"/>
      <w:r>
        <w:t>stream_id</w:t>
      </w:r>
      <w:proofErr w:type="spellEnd"/>
      <w:r>
        <w:t xml:space="preserve"> in a FD. </w:t>
      </w:r>
      <w:proofErr w:type="gramStart"/>
      <w:r>
        <w:t>So</w:t>
      </w:r>
      <w:proofErr w:type="gramEnd"/>
      <w:r>
        <w:t xml:space="preserve"> it is not clear how in FD, the ports are bind to input/output descriptor. Note that in the </w:t>
      </w:r>
      <w:proofErr w:type="spellStart"/>
      <w:r>
        <w:t>stream_id</w:t>
      </w:r>
      <w:proofErr w:type="spellEnd"/>
      <w:r>
        <w:t>,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40" w:name="_Toc109206420"/>
      <w:r>
        <w:t>Possible solutions discussion at MPEF#139</w:t>
      </w:r>
      <w:bookmarkEnd w:id="40"/>
    </w:p>
    <w:p w14:paraId="311A02F6" w14:textId="77777777" w:rsidR="00460553" w:rsidRDefault="00460553" w:rsidP="00460553">
      <w:pPr>
        <w:numPr>
          <w:ilvl w:val="0"/>
          <w:numId w:val="37"/>
        </w:numPr>
        <w:spacing w:before="100" w:beforeAutospacing="1" w:after="100" w:afterAutospacing="1"/>
      </w:pPr>
      <w:r>
        <w:t>For tasks and workflows, stream_id is used to bind the port-name to input/output</w:t>
      </w:r>
    </w:p>
    <w:p w14:paraId="4DF06C8F" w14:textId="77777777" w:rsidR="00460553" w:rsidRDefault="00460553" w:rsidP="00460553">
      <w:pPr>
        <w:numPr>
          <w:ilvl w:val="0"/>
          <w:numId w:val="37"/>
        </w:numPr>
        <w:spacing w:before="100" w:beforeAutospacing="1" w:after="100" w:afterAutospacing="1"/>
      </w:pPr>
      <w:r>
        <w:t>The name item in bind is optional and carries a logical name for the input/output discriptor.</w:t>
      </w:r>
    </w:p>
    <w:p w14:paraId="1B8197F2" w14:textId="17B4DB3B" w:rsidR="00460553" w:rsidRDefault="00460553" w:rsidP="00460553">
      <w:pPr>
        <w:numPr>
          <w:ilvl w:val="0"/>
          <w:numId w:val="37"/>
        </w:numPr>
        <w:spacing w:before="100" w:beforeAutospacing="1" w:after="100" w:afterAutospacing="1"/>
      </w:pPr>
      <w:r>
        <w:t xml:space="preserve">The input or output descriptor does not have the actual ports in a function </w:t>
      </w:r>
      <w:proofErr w:type="gramStart"/>
      <w:r>
        <w:t>descriptor</w:t>
      </w:r>
      <w:proofErr w:type="gramEnd"/>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Pr="00460553" w:rsidRDefault="00460553" w:rsidP="00A1534C">
      <w:pPr>
        <w:numPr>
          <w:ilvl w:val="0"/>
          <w:numId w:val="37"/>
        </w:numPr>
        <w:spacing w:before="100" w:beforeAutospacing="1" w:after="100" w:afterAutospacing="1"/>
      </w:pPr>
      <w:r>
        <w:t>"</w:t>
      </w:r>
      <w:proofErr w:type="gramStart"/>
      <w:r>
        <w:t>port</w:t>
      </w:r>
      <w:proofErr w:type="gramEnd"/>
      <w:r>
        <w:t>-mapping" either needs to be used or removed as definition.</w:t>
      </w:r>
    </w:p>
    <w:sectPr w:rsidR="00460553" w:rsidRPr="00460553"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BD26" w14:textId="77777777" w:rsidR="006D4201" w:rsidRDefault="006D4201" w:rsidP="00284E4A">
      <w:r>
        <w:separator/>
      </w:r>
    </w:p>
  </w:endnote>
  <w:endnote w:type="continuationSeparator" w:id="0">
    <w:p w14:paraId="274BB1E3" w14:textId="77777777" w:rsidR="006D4201" w:rsidRDefault="006D4201" w:rsidP="00284E4A">
      <w:r>
        <w:continuationSeparator/>
      </w:r>
    </w:p>
  </w:endnote>
  <w:endnote w:type="continuationNotice" w:id="1">
    <w:p w14:paraId="380C2517" w14:textId="77777777" w:rsidR="006D4201" w:rsidRDefault="006D4201"/>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2"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2"/>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3"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3"/>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45" w:name="aliashDOCCompanyConfiden1FooterFirstPage"/>
  </w:p>
  <w:bookmarkEnd w:id="45"/>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6AE63" w14:textId="77777777" w:rsidR="006D4201" w:rsidRDefault="006D4201" w:rsidP="00284E4A">
      <w:r>
        <w:separator/>
      </w:r>
    </w:p>
  </w:footnote>
  <w:footnote w:type="continuationSeparator" w:id="0">
    <w:p w14:paraId="4BD692D2" w14:textId="77777777" w:rsidR="006D4201" w:rsidRDefault="006D4201" w:rsidP="00284E4A">
      <w:r>
        <w:continuationSeparator/>
      </w:r>
    </w:p>
  </w:footnote>
  <w:footnote w:type="continuationNotice" w:id="1">
    <w:p w14:paraId="72D0A1B1" w14:textId="77777777" w:rsidR="006D4201" w:rsidRDefault="006D4201"/>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41" w:name="aliashDOCCompanyConfiden1HeaderEvenPages"/>
  </w:p>
  <w:bookmarkEnd w:id="41"/>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44" w:name="aliashDOCCompanyConfiden1HeaderFirstPage"/>
  </w:p>
  <w:bookmarkEnd w:id="44"/>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8"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9"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8"/>
  </w:num>
  <w:num w:numId="2">
    <w:abstractNumId w:val="16"/>
  </w:num>
  <w:num w:numId="3">
    <w:abstractNumId w:val="3"/>
  </w:num>
  <w:num w:numId="4">
    <w:abstractNumId w:val="0"/>
  </w:num>
  <w:num w:numId="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33"/>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25"/>
  </w:num>
  <w:num w:numId="14">
    <w:abstractNumId w:val="8"/>
  </w:num>
  <w:num w:numId="15">
    <w:abstractNumId w:val="36"/>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5"/>
  </w:num>
  <w:num w:numId="20">
    <w:abstractNumId w:val="31"/>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0"/>
  </w:num>
  <w:num w:numId="24">
    <w:abstractNumId w:val="21"/>
  </w:num>
  <w:num w:numId="25">
    <w:abstractNumId w:val="9"/>
  </w:num>
  <w:num w:numId="26">
    <w:abstractNumId w:val="29"/>
  </w:num>
  <w:num w:numId="27">
    <w:abstractNumId w:val="32"/>
  </w:num>
  <w:num w:numId="28">
    <w:abstractNumId w:val="15"/>
  </w:num>
  <w:num w:numId="29">
    <w:abstractNumId w:val="19"/>
  </w:num>
  <w:num w:numId="30">
    <w:abstractNumId w:val="40"/>
  </w:num>
  <w:num w:numId="31">
    <w:abstractNumId w:val="34"/>
  </w:num>
  <w:num w:numId="32">
    <w:abstractNumId w:val="7"/>
  </w:num>
  <w:num w:numId="33">
    <w:abstractNumId w:val="24"/>
  </w:num>
  <w:num w:numId="34">
    <w:abstractNumId w:val="35"/>
  </w:num>
  <w:num w:numId="35">
    <w:abstractNumId w:val="26"/>
  </w:num>
  <w:num w:numId="36">
    <w:abstractNumId w:val="14"/>
  </w:num>
  <w:num w:numId="37">
    <w:abstractNumId w:val="28"/>
  </w:num>
  <w:num w:numId="38">
    <w:abstractNumId w:val="1"/>
  </w:num>
  <w:num w:numId="39">
    <w:abstractNumId w:val="39"/>
  </w:num>
  <w:num w:numId="40">
    <w:abstractNumId w:val="22"/>
  </w:num>
  <w:num w:numId="41">
    <w:abstractNumId w:val="12"/>
  </w:num>
  <w:num w:numId="42">
    <w:abstractNumId w:val="17"/>
  </w:num>
  <w:num w:numId="4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66"/>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4097">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D6"/>
    <w:rsid w:val="001E0156"/>
    <w:rsid w:val="001E0DFF"/>
    <w:rsid w:val="001E3518"/>
    <w:rsid w:val="001E49C4"/>
    <w:rsid w:val="001E78B1"/>
    <w:rsid w:val="001F006C"/>
    <w:rsid w:val="001F1018"/>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D0218"/>
    <w:rsid w:val="007D3989"/>
    <w:rsid w:val="007D4D2C"/>
    <w:rsid w:val="007E035B"/>
    <w:rsid w:val="007E7B17"/>
    <w:rsid w:val="007F3FA5"/>
    <w:rsid w:val="007F7AC7"/>
    <w:rsid w:val="007F7C9E"/>
    <w:rsid w:val="00800CA9"/>
    <w:rsid w:val="0080128E"/>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49D"/>
    <w:rsid w:val="00C04C95"/>
    <w:rsid w:val="00C05C0A"/>
    <w:rsid w:val="00C07832"/>
    <w:rsid w:val="00C16C30"/>
    <w:rsid w:val="00C20463"/>
    <w:rsid w:val="00C26526"/>
    <w:rsid w:val="00C321C0"/>
    <w:rsid w:val="00C329F5"/>
    <w:rsid w:val="00C34060"/>
    <w:rsid w:val="00C36257"/>
    <w:rsid w:val="00C36921"/>
    <w:rsid w:val="00C36CFF"/>
    <w:rsid w:val="00C4202D"/>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929"/>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宋体" w:eastAsia="宋体"/>
      <w:sz w:val="18"/>
      <w:szCs w:val="18"/>
      <w:lang w:val="en-GB" w:eastAsia="ja-JP"/>
    </w:rPr>
  </w:style>
  <w:style w:type="paragraph" w:styleId="DocumentMap">
    <w:name w:val="Document Map"/>
    <w:basedOn w:val="Normal"/>
    <w:link w:val="DocumentMapChar"/>
    <w:uiPriority w:val="99"/>
    <w:semiHidden/>
    <w:unhideWhenUsed/>
    <w:rsid w:val="00185295"/>
    <w:rPr>
      <w:rFonts w:ascii="宋体" w:eastAsia="宋体"/>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15</Pages>
  <Words>4369</Words>
  <Characters>26183</Characters>
  <Application>Microsoft Office Word</Application>
  <DocSecurity>0</DocSecurity>
  <Lines>218</Lines>
  <Paragraphs>60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30492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 (2022-05-11)</cp:lastModifiedBy>
  <cp:revision>10</cp:revision>
  <cp:lastPrinted>1901-01-01T08:00:00Z</cp:lastPrinted>
  <dcterms:created xsi:type="dcterms:W3CDTF">2022-07-21T06:07:00Z</dcterms:created>
  <dcterms:modified xsi:type="dcterms:W3CDTF">2022-07-22T18:48:00Z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ies>
</file>