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94F9" w14:textId="767FE684" w:rsidR="00FE5AE2" w:rsidRPr="00FE5AE2" w:rsidRDefault="00FE5AE2" w:rsidP="00950718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ascii="Arial" w:eastAsia="Arial" w:hAnsi="Arial" w:cs="Arial"/>
          <w:b/>
          <w:sz w:val="20"/>
          <w:szCs w:val="22"/>
          <w:lang w:eastAsia="ja-JP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</w:t>
      </w:r>
      <w:r w:rsidR="00FC20BD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</w:t>
      </w:r>
      <w:r w:rsidR="00F3181B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365</w:t>
      </w: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5893FF36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3D Graphics </w:t>
                            </w:r>
                            <w:r w:rsidR="009C10D9">
                              <w:rPr>
                                <w:b/>
                                <w:sz w:val="28"/>
                                <w:szCs w:val="28"/>
                              </w:rPr>
                              <w:t xml:space="preserve">and Haptics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6716D785" w14:textId="5893FF36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3D Graphics </w:t>
                      </w:r>
                      <w:r w:rsidR="009C10D9">
                        <w:rPr>
                          <w:b/>
                          <w:sz w:val="28"/>
                          <w:szCs w:val="28"/>
                        </w:rPr>
                        <w:t xml:space="preserve">and Haptics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  <w:t xml:space="preserve">Insert Document 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30A8D1C4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5E5A">
        <w:rPr>
          <w:rFonts w:eastAsia="Arial"/>
          <w:snapToGrid w:val="0"/>
        </w:rPr>
        <w:t>2</w:t>
      </w:r>
      <w:r w:rsidRPr="00FE5AE2">
        <w:rPr>
          <w:rFonts w:eastAsia="Arial"/>
          <w:snapToGrid w:val="0"/>
        </w:rPr>
        <w:t>-</w:t>
      </w:r>
      <w:r w:rsidR="00F3181B">
        <w:rPr>
          <w:rFonts w:eastAsia="Arial"/>
          <w:snapToGrid w:val="0"/>
        </w:rPr>
        <w:t>10</w:t>
      </w:r>
      <w:r w:rsidRPr="00FE5AE2">
        <w:rPr>
          <w:rFonts w:eastAsia="Arial"/>
          <w:snapToGrid w:val="0"/>
        </w:rPr>
        <w:t>-</w:t>
      </w:r>
      <w:r w:rsidR="00F3181B">
        <w:rPr>
          <w:rFonts w:eastAsia="Arial"/>
          <w:snapToGrid w:val="0"/>
        </w:rPr>
        <w:t>15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9C10D9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9C10D9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>marius.preda @ imt . fr</w:t>
      </w:r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6294B62B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 xml:space="preserve">Graphics </w:t>
      </w:r>
      <w:r w:rsidR="009C10D9">
        <w:rPr>
          <w:rFonts w:eastAsia="SimSun"/>
          <w:b/>
          <w:caps/>
          <w:sz w:val="28"/>
          <w:lang w:val="en-GB" w:eastAsia="zh-CN"/>
        </w:rPr>
        <w:t xml:space="preserve">and haptics </w:t>
      </w:r>
      <w:r w:rsidRPr="00FE5AE2">
        <w:rPr>
          <w:rFonts w:eastAsia="SimSun"/>
          <w:b/>
          <w:caps/>
          <w:sz w:val="28"/>
          <w:lang w:val="en-GB" w:eastAsia="zh-CN"/>
        </w:rPr>
        <w:t>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256A7A4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</w:t>
      </w:r>
      <w:r w:rsidR="00FC20BD">
        <w:rPr>
          <w:rFonts w:eastAsia="SimSun"/>
          <w:b/>
          <w:sz w:val="48"/>
          <w:lang w:val="en-GB" w:eastAsia="zh-CN"/>
        </w:rPr>
        <w:t>3</w:t>
      </w:r>
      <w:r w:rsidR="00F3181B">
        <w:rPr>
          <w:rFonts w:eastAsia="SimSun"/>
          <w:b/>
          <w:sz w:val="48"/>
          <w:lang w:val="en-GB" w:eastAsia="zh-CN"/>
        </w:rPr>
        <w:t>65</w:t>
      </w:r>
    </w:p>
    <w:p w14:paraId="4BC6EEB5" w14:textId="7566DE33" w:rsidR="00FE5AE2" w:rsidRPr="00FE5AE2" w:rsidRDefault="00F3181B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July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 w:rsidR="00195E5A">
        <w:rPr>
          <w:rFonts w:eastAsia="SimSun"/>
          <w:b/>
          <w:sz w:val="28"/>
          <w:lang w:val="en-GB" w:eastAsia="zh-CN"/>
        </w:rPr>
        <w:t>2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4B6BDB6E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59F6F13D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 xml:space="preserve">MPEG 3D Graphics </w:t>
            </w:r>
            <w:r w:rsidR="009C10D9">
              <w:rPr>
                <w:rFonts w:eastAsia="Arial"/>
                <w:b/>
              </w:rPr>
              <w:t xml:space="preserve">and Haptics </w:t>
            </w:r>
            <w:r w:rsidRPr="00FE5AE2">
              <w:rPr>
                <w:rFonts w:eastAsia="Arial"/>
                <w:b/>
              </w:rPr>
              <w:t>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MPEG number, digits only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5B80EF8E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EA0965">
        <w:rPr>
          <w:lang w:val="en-CA"/>
        </w:rPr>
        <w:t xml:space="preserve">, </w:t>
      </w:r>
      <w:r w:rsidR="001929A4">
        <w:rPr>
          <w:lang w:val="en-CA"/>
        </w:rPr>
        <w:t>m5</w:t>
      </w:r>
      <w:r w:rsidR="006A3679">
        <w:rPr>
          <w:lang w:val="en-CA"/>
        </w:rPr>
        <w:t>6809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 w:rsidR="00EA0965">
        <w:rPr>
          <w:lang w:val="en-CA"/>
        </w:rPr>
        <w:t xml:space="preserve">, and </w:t>
      </w:r>
      <w:r w:rsidR="00EA0965" w:rsidRPr="00EA0965">
        <w:rPr>
          <w:lang w:val="en-CA"/>
        </w:rPr>
        <w:t>m57358</w:t>
      </w:r>
      <w:r w:rsidR="00EA0965">
        <w:rPr>
          <w:lang w:val="en-CA"/>
        </w:rPr>
        <w:t>[3]</w:t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However, the sensor may output in the data format of the spherical coordinate system (ex. Velodyne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382C69B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new predictive geometry angular coding method to encode/decode the spherical coordinate data</w:t>
      </w:r>
      <w:r w:rsidR="008A7CC2">
        <w:rPr>
          <w:lang w:val="en-CA"/>
        </w:rPr>
        <w:t xml:space="preserve"> was proposed</w:t>
      </w:r>
      <w:r w:rsidRPr="00E56FA6">
        <w:rPr>
          <w:lang w:val="en-CA"/>
        </w:rPr>
        <w:t>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200A8335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0D5B48A0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  <w:r w:rsidR="00237716">
        <w:rPr>
          <w:lang w:eastAsia="ja-JP"/>
        </w:rPr>
        <w:t xml:space="preserve"> 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04BB66CF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  <w:r w:rsidR="00237716" w:rsidRPr="00237716">
        <w:rPr>
          <w:lang w:eastAsia="ja-JP"/>
        </w:rPr>
        <w:t xml:space="preserve"> </w:t>
      </w:r>
      <w:r w:rsidR="00237716">
        <w:rPr>
          <w:lang w:eastAsia="ja-JP"/>
        </w:rPr>
        <w:t>Existing azimuth scaling can be used for quantizing Residual 1.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r w:rsidR="009C10D9">
        <w:fldChar w:fldCharType="begin"/>
      </w:r>
      <w:r w:rsidR="009C10D9">
        <w:instrText xml:space="preserve"> SEQ Figure \* ARABIC </w:instrText>
      </w:r>
      <w:r w:rsidR="009C10D9">
        <w:fldChar w:fldCharType="separate"/>
      </w:r>
      <w:r>
        <w:rPr>
          <w:noProof/>
        </w:rPr>
        <w:t>1</w:t>
      </w:r>
      <w:r w:rsidR="009C10D9">
        <w:rPr>
          <w:noProof/>
        </w:rPr>
        <w:fldChar w:fldCharType="end"/>
      </w:r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r w:rsidR="009C10D9">
        <w:fldChar w:fldCharType="begin"/>
      </w:r>
      <w:r w:rsidR="009C10D9">
        <w:instrText xml:space="preserve"> SEQ Figure \* ARAB</w:instrText>
      </w:r>
      <w:r w:rsidR="009C10D9">
        <w:instrText xml:space="preserve">IC </w:instrText>
      </w:r>
      <w:r w:rsidR="009C10D9">
        <w:fldChar w:fldCharType="separate"/>
      </w:r>
      <w:r>
        <w:rPr>
          <w:noProof/>
        </w:rPr>
        <w:t>2</w:t>
      </w:r>
      <w:r w:rsidR="009C10D9">
        <w:rPr>
          <w:noProof/>
        </w:rPr>
        <w:fldChar w:fldCharType="end"/>
      </w:r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r w:rsidRPr="000C6F2D">
        <w:rPr>
          <w:rFonts w:eastAsiaTheme="minorEastAsia"/>
          <w:lang w:eastAsia="ja-JP"/>
        </w:rPr>
        <w:lastRenderedPageBreak/>
        <w:t xml:space="preserve">geom_coordinate_conversion_flag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r w:rsidRPr="000C6F2D">
        <w:rPr>
          <w:rFonts w:eastAsiaTheme="minorEastAsia"/>
          <w:b/>
          <w:bCs/>
          <w:lang w:eastAsia="ja-JP"/>
        </w:rPr>
        <w:t>geom_coordinate_conversion_flag</w:t>
      </w:r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r w:rsidRPr="000C6F2D">
        <w:rPr>
          <w:b/>
          <w:bCs/>
          <w:lang w:val="en"/>
        </w:rPr>
        <w:t>angular_mode_enabled_flag</w:t>
      </w:r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r w:rsidR="009C10D9">
        <w:fldChar w:fldCharType="begin"/>
      </w:r>
      <w:r w:rsidR="009C10D9">
        <w:instrText xml:space="preserve"> SEQ Figure \* ARABIC </w:instrText>
      </w:r>
      <w:r w:rsidR="009C10D9">
        <w:fldChar w:fldCharType="separate"/>
      </w:r>
      <w:r>
        <w:rPr>
          <w:noProof/>
        </w:rPr>
        <w:t>3</w:t>
      </w:r>
      <w:r w:rsidR="009C10D9">
        <w:rPr>
          <w:noProof/>
        </w:rPr>
        <w:fldChar w:fldCharType="end"/>
      </w:r>
      <w:r>
        <w:t xml:space="preserve"> Decoding process</w:t>
      </w: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74E35F88" w14:textId="77777777" w:rsidR="00F26F03" w:rsidRDefault="00F26F03" w:rsidP="008B7DF8">
      <w:pPr>
        <w:pStyle w:val="Titre2"/>
      </w:pPr>
      <w:r>
        <w:t>Mandates</w:t>
      </w:r>
    </w:p>
    <w:p w14:paraId="0D6E31D4" w14:textId="47436CA5" w:rsidR="00046132" w:rsidRDefault="00165990" w:rsidP="00046132">
      <w:pPr>
        <w:rPr>
          <w:lang w:eastAsia="ja-JP"/>
        </w:rPr>
      </w:pPr>
      <w:r>
        <w:rPr>
          <w:lang w:eastAsia="ja-JP"/>
        </w:rPr>
        <w:t>T</w:t>
      </w:r>
      <w:r w:rsidRPr="00165990">
        <w:rPr>
          <w:lang w:eastAsia="ja-JP"/>
        </w:rPr>
        <w:t xml:space="preserve">he concept for the proposed method </w:t>
      </w:r>
      <w:r>
        <w:rPr>
          <w:lang w:eastAsia="ja-JP"/>
        </w:rPr>
        <w:t>was</w:t>
      </w:r>
      <w:r w:rsidRPr="00165990">
        <w:rPr>
          <w:lang w:eastAsia="ja-JP"/>
        </w:rPr>
        <w:t xml:space="preserve"> agreed</w:t>
      </w:r>
      <w:r>
        <w:rPr>
          <w:lang w:eastAsia="ja-JP"/>
        </w:rPr>
        <w:t xml:space="preserve"> in MPEG134 meeting</w:t>
      </w:r>
      <w:r w:rsidR="00EA0965">
        <w:rPr>
          <w:lang w:eastAsia="ja-JP"/>
        </w:rPr>
        <w:t xml:space="preserve"> and the s</w:t>
      </w:r>
      <w:r w:rsidR="00046132">
        <w:rPr>
          <w:lang w:eastAsia="ja-JP"/>
        </w:rPr>
        <w:t>oftware</w:t>
      </w:r>
      <w:r w:rsidR="00EA0965">
        <w:rPr>
          <w:lang w:eastAsia="ja-JP"/>
        </w:rPr>
        <w:t xml:space="preserve"> </w:t>
      </w:r>
      <w:r w:rsidR="00046132">
        <w:rPr>
          <w:rFonts w:hint="eastAsia"/>
          <w:lang w:eastAsia="ja-JP"/>
        </w:rPr>
        <w:t>[</w:t>
      </w:r>
      <w:r w:rsidR="00EA0965">
        <w:rPr>
          <w:lang w:eastAsia="ja-JP"/>
        </w:rPr>
        <w:t>4</w:t>
      </w:r>
      <w:r w:rsidR="00046132">
        <w:rPr>
          <w:lang w:eastAsia="ja-JP"/>
        </w:rPr>
        <w:t>] and specification draft</w:t>
      </w:r>
      <w:r w:rsidR="00EA0965">
        <w:rPr>
          <w:lang w:eastAsia="ja-JP"/>
        </w:rPr>
        <w:t xml:space="preserve"> [3] </w:t>
      </w:r>
      <w:r w:rsidR="00046132">
        <w:rPr>
          <w:lang w:eastAsia="ja-JP"/>
        </w:rPr>
        <w:t xml:space="preserve">were provided in MPEG135. </w:t>
      </w:r>
    </w:p>
    <w:p w14:paraId="0B3BBE34" w14:textId="37A17CD8" w:rsidR="00DE7F3B" w:rsidRPr="00F26F03" w:rsidRDefault="006B0A09" w:rsidP="00DE7F3B">
      <w:r w:rsidRPr="006B0A09">
        <w:rPr>
          <w:lang w:eastAsia="ja-JP"/>
        </w:rPr>
        <w:t xml:space="preserve">Mandates for </w:t>
      </w:r>
      <w:r w:rsidR="00871A99">
        <w:rPr>
          <w:lang w:eastAsia="ja-JP"/>
        </w:rPr>
        <w:t>E</w:t>
      </w:r>
      <w:r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Pr="006B0A09">
        <w:rPr>
          <w:lang w:eastAsia="ja-JP"/>
        </w:rPr>
        <w:t xml:space="preserve"> is </w:t>
      </w:r>
      <w:r w:rsidR="006A3679">
        <w:rPr>
          <w:lang w:eastAsia="ja-JP"/>
        </w:rPr>
        <w:t xml:space="preserve">to </w:t>
      </w:r>
      <w:r w:rsidR="00EA0965">
        <w:rPr>
          <w:lang w:eastAsia="ja-JP"/>
        </w:rPr>
        <w:t>investigate the decoding process and specification</w:t>
      </w:r>
      <w:r w:rsidR="00C635BE">
        <w:rPr>
          <w:lang w:eastAsia="ja-JP"/>
        </w:rPr>
        <w:t xml:space="preserve"> based on </w:t>
      </w:r>
      <w:r w:rsidR="00C635BE" w:rsidRPr="004E1955">
        <w:rPr>
          <w:u w:val="single"/>
          <w:lang w:eastAsia="ja-JP"/>
        </w:rPr>
        <w:t xml:space="preserve">G-PCC </w:t>
      </w:r>
      <w:r w:rsidR="00C57EBE" w:rsidRPr="004E1955">
        <w:rPr>
          <w:u w:val="single"/>
          <w:lang w:eastAsia="ja-JP"/>
        </w:rPr>
        <w:t>v2 WD</w:t>
      </w:r>
      <w:r w:rsidR="001F752D">
        <w:rPr>
          <w:lang w:eastAsia="ja-JP"/>
        </w:rPr>
        <w:t>. In</w:t>
      </w:r>
      <w:r w:rsidR="00EA0965">
        <w:rPr>
          <w:rStyle w:val="jlqj4b"/>
          <w:lang w:val="en"/>
        </w:rPr>
        <w:t xml:space="preserve"> particular, </w:t>
      </w:r>
      <w:r w:rsidR="001F752D">
        <w:rPr>
          <w:rStyle w:val="jlqj4b"/>
          <w:lang w:val="en"/>
        </w:rPr>
        <w:t xml:space="preserve">mandate for new EE is </w:t>
      </w:r>
      <w:r w:rsidR="00EA0965">
        <w:rPr>
          <w:rStyle w:val="jlqj4b"/>
          <w:lang w:val="en"/>
        </w:rPr>
        <w:t xml:space="preserve">to </w:t>
      </w:r>
      <w:r w:rsidR="0095223F" w:rsidRPr="0095223F">
        <w:t xml:space="preserve">investigate the interaction of the coding tools </w:t>
      </w:r>
      <w:r w:rsidR="00C635BE" w:rsidRPr="0095223F">
        <w:t>and the coordinate system</w:t>
      </w:r>
      <w:r w:rsidR="00C635BE">
        <w:t xml:space="preserve"> and do experiment on the latest TMC13 software</w:t>
      </w:r>
      <w:r w:rsidR="0095223F" w:rsidRPr="0095223F">
        <w:t>.</w:t>
      </w:r>
    </w:p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0E5ADF5D" w:rsidR="00257B4F" w:rsidRDefault="00FE5AE2" w:rsidP="00257B4F">
            <w:pPr>
              <w:spacing w:after="0"/>
            </w:pPr>
            <w:r w:rsidRPr="00EA0965">
              <w:t>iguchi.noritaka@jp.panasonic.com</w:t>
            </w:r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48F16436" w:rsidR="00A076FE" w:rsidRDefault="00A076FE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180" w:type="dxa"/>
          </w:tcPr>
          <w:p w14:paraId="51A8FC3A" w14:textId="0208036B" w:rsidR="00A076FE" w:rsidRDefault="00A076FE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3827" w:type="dxa"/>
          </w:tcPr>
          <w:p w14:paraId="5AE10C91" w14:textId="4EF7C2CB" w:rsidR="006E7EF8" w:rsidRPr="006E7EF8" w:rsidRDefault="006E7EF8" w:rsidP="00257B4F">
            <w:pPr>
              <w:spacing w:after="0"/>
              <w:rPr>
                <w:lang w:eastAsia="ja-JP"/>
              </w:rPr>
            </w:pPr>
          </w:p>
        </w:tc>
        <w:tc>
          <w:tcPr>
            <w:tcW w:w="1666" w:type="dxa"/>
          </w:tcPr>
          <w:p w14:paraId="06AC0C2B" w14:textId="3F99F053" w:rsidR="00A076FE" w:rsidRPr="006E7EF8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  <w:r>
              <w:rPr>
                <w:lang w:eastAsia="ja-JP"/>
              </w:rPr>
              <w:t>ross checker</w:t>
            </w:r>
          </w:p>
        </w:tc>
      </w:tr>
    </w:tbl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029D0FE4" w14:textId="29651897" w:rsidR="00EA0965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29635B">
        <w:rPr>
          <w:b/>
        </w:rPr>
        <w:t>2</w:t>
      </w:r>
      <w:r w:rsidR="0080292A" w:rsidRPr="001155B0">
        <w:rPr>
          <w:b/>
        </w:rPr>
        <w:t>-</w:t>
      </w:r>
      <w:r w:rsidR="00C57EBE">
        <w:rPr>
          <w:b/>
        </w:rPr>
        <w:t>08</w:t>
      </w:r>
      <w:r w:rsidR="0080292A" w:rsidRPr="001155B0">
        <w:rPr>
          <w:b/>
        </w:rPr>
        <w:t>-</w:t>
      </w:r>
      <w:r w:rsidR="00C57EBE">
        <w:rPr>
          <w:b/>
        </w:rPr>
        <w:t>0</w:t>
      </w:r>
      <w:r w:rsidR="00F3181B">
        <w:rPr>
          <w:b/>
        </w:rPr>
        <w:t>5</w:t>
      </w:r>
      <w:r w:rsidR="00EB2B3E" w:rsidRPr="001155B0">
        <w:t xml:space="preserve">: </w:t>
      </w:r>
      <w:r w:rsidR="00EA0965">
        <w:t>release the EE description</w:t>
      </w:r>
    </w:p>
    <w:p w14:paraId="0B8BA334" w14:textId="25FAA27A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contextualSpacing/>
        <w:rPr>
          <w:sz w:val="22"/>
          <w:szCs w:val="22"/>
          <w:lang w:val="en-GB"/>
        </w:rPr>
      </w:pPr>
      <w:r>
        <w:rPr>
          <w:b/>
          <w:bCs/>
          <w:lang w:val="en-GB"/>
        </w:rPr>
        <w:t>2022-</w:t>
      </w:r>
      <w:r w:rsidR="00C57EBE">
        <w:rPr>
          <w:b/>
          <w:bCs/>
          <w:lang w:val="en-GB"/>
        </w:rPr>
        <w:t>10</w:t>
      </w:r>
      <w:r>
        <w:rPr>
          <w:b/>
          <w:bCs/>
          <w:lang w:val="en-GB"/>
        </w:rPr>
        <w:t>-</w:t>
      </w:r>
      <w:r w:rsidR="00C57EBE">
        <w:rPr>
          <w:b/>
          <w:bCs/>
          <w:lang w:val="en-GB"/>
        </w:rPr>
        <w:t>05</w:t>
      </w:r>
      <w:r>
        <w:rPr>
          <w:lang w:val="en-GB"/>
        </w:rPr>
        <w:t xml:space="preserve">: Expected </w:t>
      </w:r>
      <w:r>
        <w:rPr>
          <w:lang w:val="en-GB" w:eastAsia="fr-FR"/>
        </w:rPr>
        <w:t xml:space="preserve">delivery date of </w:t>
      </w:r>
      <w:r>
        <w:rPr>
          <w:lang w:val="en-GB"/>
        </w:rPr>
        <w:t xml:space="preserve">source codes and results for crosscheck </w:t>
      </w:r>
    </w:p>
    <w:p w14:paraId="0700AB68" w14:textId="0556AD6E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rPr>
          <w:lang w:val="en-GB"/>
        </w:rPr>
      </w:pPr>
      <w:r>
        <w:rPr>
          <w:b/>
          <w:bCs/>
          <w:lang w:val="en-GB"/>
        </w:rPr>
        <w:t>2022-</w:t>
      </w:r>
      <w:r w:rsidR="00F3181B">
        <w:rPr>
          <w:b/>
          <w:bCs/>
          <w:lang w:val="en-GB"/>
        </w:rPr>
        <w:t>10-12</w:t>
      </w:r>
      <w:r>
        <w:rPr>
          <w:lang w:val="en-GB"/>
        </w:rPr>
        <w:t xml:space="preserve">: Expected </w:t>
      </w:r>
      <w:r>
        <w:rPr>
          <w:lang w:val="en-GB" w:eastAsia="fr-FR"/>
        </w:rPr>
        <w:t xml:space="preserve">delivery date of </w:t>
      </w:r>
      <w:r>
        <w:rPr>
          <w:lang w:val="en-GB"/>
        </w:rPr>
        <w:t>crosscheck results</w:t>
      </w:r>
    </w:p>
    <w:p w14:paraId="3FBC5A05" w14:textId="56C5F441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rPr>
          <w:lang w:val="en-GB"/>
        </w:rPr>
      </w:pPr>
      <w:r>
        <w:rPr>
          <w:b/>
          <w:lang w:val="en-GB"/>
        </w:rPr>
        <w:t>2022-</w:t>
      </w:r>
      <w:r w:rsidR="00F3181B">
        <w:rPr>
          <w:b/>
          <w:lang w:val="en-GB"/>
        </w:rPr>
        <w:t>10</w:t>
      </w:r>
      <w:r>
        <w:rPr>
          <w:b/>
          <w:lang w:val="en-GB"/>
        </w:rPr>
        <w:t>-</w:t>
      </w:r>
      <w:r w:rsidR="00FC20BD">
        <w:rPr>
          <w:rFonts w:eastAsia="SimSun"/>
          <w:b/>
          <w:lang w:val="en-GB" w:eastAsia="zh-CN"/>
        </w:rPr>
        <w:t>1</w:t>
      </w:r>
      <w:r w:rsidR="00F3181B">
        <w:rPr>
          <w:rFonts w:eastAsia="SimSun"/>
          <w:b/>
          <w:lang w:val="en-GB" w:eastAsia="zh-CN"/>
        </w:rPr>
        <w:t>9</w:t>
      </w:r>
      <w:r>
        <w:rPr>
          <w:lang w:val="en-GB"/>
        </w:rPr>
        <w:t>: Deadline of upload</w:t>
      </w:r>
      <w:r w:rsidR="00C635BE">
        <w:rPr>
          <w:lang w:val="en-GB"/>
        </w:rPr>
        <w:t xml:space="preserve"> the document to MPEG</w:t>
      </w:r>
    </w:p>
    <w:p w14:paraId="37F28883" w14:textId="77777777" w:rsidR="00213CD9" w:rsidRDefault="00213CD9" w:rsidP="00E21DA8">
      <w:pPr>
        <w:pStyle w:val="Titre1"/>
      </w:pPr>
      <w:r w:rsidRPr="00213CD9">
        <w:lastRenderedPageBreak/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>ISO/IEC JTC1/SC29/WG7 MPEG2020/m55361 October 2020, Online.</w:t>
      </w:r>
      <w:bookmarkEnd w:id="4"/>
    </w:p>
    <w:p w14:paraId="4C346FB1" w14:textId="272CF36E" w:rsidR="00AA73E7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 w:rsidR="006A3679">
        <w:t>6809</w:t>
      </w:r>
      <w:r>
        <w:t xml:space="preserve">, </w:t>
      </w:r>
      <w:r w:rsidR="006A3679">
        <w:t>April</w:t>
      </w:r>
      <w:r>
        <w:t xml:space="preserve"> 2021, Online.</w:t>
      </w:r>
      <w:bookmarkEnd w:id="6"/>
    </w:p>
    <w:p w14:paraId="6FE8980E" w14:textId="23977820" w:rsidR="00EA0965" w:rsidRDefault="00EA0965" w:rsidP="00EA0965">
      <w:pPr>
        <w:numPr>
          <w:ilvl w:val="0"/>
          <w:numId w:val="9"/>
        </w:numPr>
        <w:spacing w:after="0"/>
      </w:pPr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 xml:space="preserve">SO/IEC JTC 1/SC 29/WG 7 </w:t>
      </w:r>
      <w:r w:rsidR="00AE28D8" w:rsidRPr="00AE28D8">
        <w:t>m58051</w:t>
      </w:r>
      <w:r>
        <w:t xml:space="preserve">, </w:t>
      </w:r>
      <w:r w:rsidR="00B735CC">
        <w:t>October</w:t>
      </w:r>
      <w:r>
        <w:t xml:space="preserve"> 2021, Online.</w:t>
      </w:r>
    </w:p>
    <w:p w14:paraId="02839D8E" w14:textId="42ED763B" w:rsidR="00EA0965" w:rsidRPr="00904AB0" w:rsidRDefault="00EA0965" w:rsidP="00AA73E7">
      <w:pPr>
        <w:numPr>
          <w:ilvl w:val="0"/>
          <w:numId w:val="9"/>
        </w:numPr>
        <w:spacing w:after="0"/>
      </w:pPr>
      <w:r w:rsidRPr="00EA0965">
        <w:t>http://mpegx.int-evry.fr/software/MPEG/PCC/CE/mpeg-pcc-tmc13/-/tree/mpeg135/mtg/m54258-ee1347_SphericalCoordGeom</w:t>
      </w:r>
    </w:p>
    <w:bookmarkEnd w:id="5"/>
    <w:p w14:paraId="0D7A6E68" w14:textId="46C7DE2B" w:rsidR="00AB3878" w:rsidRPr="00904AB0" w:rsidRDefault="00AB3878" w:rsidP="006A3679">
      <w:pPr>
        <w:pStyle w:val="Paragraphedeliste"/>
        <w:ind w:left="360"/>
        <w:rPr>
          <w:lang w:eastAsia="ko-KR"/>
        </w:rPr>
      </w:pPr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FDBD0" w14:textId="77777777" w:rsidR="00AC1306" w:rsidRDefault="00AC1306" w:rsidP="00437281">
      <w:pPr>
        <w:spacing w:after="0" w:line="240" w:lineRule="auto"/>
      </w:pPr>
      <w:r>
        <w:separator/>
      </w:r>
    </w:p>
  </w:endnote>
  <w:endnote w:type="continuationSeparator" w:id="0">
    <w:p w14:paraId="4F2FDFC9" w14:textId="77777777" w:rsidR="00AC1306" w:rsidRDefault="00AC1306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ＭＳ 明朝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1C485" w14:textId="77777777" w:rsidR="00AC1306" w:rsidRDefault="00AC1306" w:rsidP="00437281">
      <w:pPr>
        <w:spacing w:after="0" w:line="240" w:lineRule="auto"/>
      </w:pPr>
      <w:r>
        <w:separator/>
      </w:r>
    </w:p>
  </w:footnote>
  <w:footnote w:type="continuationSeparator" w:id="0">
    <w:p w14:paraId="5D25DDF6" w14:textId="77777777" w:rsidR="00AC1306" w:rsidRDefault="00AC1306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9AC2FAD"/>
    <w:multiLevelType w:val="hybridMultilevel"/>
    <w:tmpl w:val="C22ED2EC"/>
    <w:lvl w:ilvl="0" w:tplc="B5ECA912">
      <w:start w:val="3"/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4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4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91091678">
    <w:abstractNumId w:val="22"/>
  </w:num>
  <w:num w:numId="2" w16cid:durableId="307521167">
    <w:abstractNumId w:val="5"/>
  </w:num>
  <w:num w:numId="3" w16cid:durableId="2092702473">
    <w:abstractNumId w:val="12"/>
  </w:num>
  <w:num w:numId="4" w16cid:durableId="547374753">
    <w:abstractNumId w:val="13"/>
  </w:num>
  <w:num w:numId="5" w16cid:durableId="1901671817">
    <w:abstractNumId w:val="14"/>
  </w:num>
  <w:num w:numId="6" w16cid:durableId="1002705521">
    <w:abstractNumId w:val="24"/>
  </w:num>
  <w:num w:numId="7" w16cid:durableId="981882137">
    <w:abstractNumId w:val="7"/>
  </w:num>
  <w:num w:numId="8" w16cid:durableId="968821324">
    <w:abstractNumId w:val="19"/>
  </w:num>
  <w:num w:numId="9" w16cid:durableId="973294797">
    <w:abstractNumId w:val="4"/>
  </w:num>
  <w:num w:numId="10" w16cid:durableId="1090389886">
    <w:abstractNumId w:val="15"/>
  </w:num>
  <w:num w:numId="11" w16cid:durableId="329677341">
    <w:abstractNumId w:val="16"/>
  </w:num>
  <w:num w:numId="12" w16cid:durableId="1440637532">
    <w:abstractNumId w:val="17"/>
  </w:num>
  <w:num w:numId="13" w16cid:durableId="561255240">
    <w:abstractNumId w:val="18"/>
  </w:num>
  <w:num w:numId="14" w16cid:durableId="429857617">
    <w:abstractNumId w:val="8"/>
  </w:num>
  <w:num w:numId="15" w16cid:durableId="1539976954">
    <w:abstractNumId w:val="10"/>
  </w:num>
  <w:num w:numId="16" w16cid:durableId="1095831929">
    <w:abstractNumId w:val="11"/>
  </w:num>
  <w:num w:numId="17" w16cid:durableId="1236621834">
    <w:abstractNumId w:val="23"/>
  </w:num>
  <w:num w:numId="18" w16cid:durableId="515846232">
    <w:abstractNumId w:val="22"/>
  </w:num>
  <w:num w:numId="19" w16cid:durableId="1701470465">
    <w:abstractNumId w:val="3"/>
  </w:num>
  <w:num w:numId="20" w16cid:durableId="1420634338">
    <w:abstractNumId w:val="2"/>
  </w:num>
  <w:num w:numId="21" w16cid:durableId="701366833">
    <w:abstractNumId w:val="1"/>
  </w:num>
  <w:num w:numId="22" w16cid:durableId="1475366007">
    <w:abstractNumId w:val="21"/>
  </w:num>
  <w:num w:numId="23" w16cid:durableId="1243757524">
    <w:abstractNumId w:val="22"/>
  </w:num>
  <w:num w:numId="24" w16cid:durableId="1497719793">
    <w:abstractNumId w:val="22"/>
  </w:num>
  <w:num w:numId="25" w16cid:durableId="1934582493">
    <w:abstractNumId w:val="22"/>
  </w:num>
  <w:num w:numId="26" w16cid:durableId="1733850005">
    <w:abstractNumId w:val="22"/>
  </w:num>
  <w:num w:numId="27" w16cid:durableId="965160810">
    <w:abstractNumId w:val="0"/>
  </w:num>
  <w:num w:numId="28" w16cid:durableId="1484352950">
    <w:abstractNumId w:val="20"/>
  </w:num>
  <w:num w:numId="29" w16cid:durableId="2018800050">
    <w:abstractNumId w:val="6"/>
  </w:num>
  <w:num w:numId="30" w16cid:durableId="12224012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0EBD"/>
    <w:rsid w:val="00021B53"/>
    <w:rsid w:val="0002562C"/>
    <w:rsid w:val="000417D8"/>
    <w:rsid w:val="000426E9"/>
    <w:rsid w:val="00043C64"/>
    <w:rsid w:val="0004447F"/>
    <w:rsid w:val="00046132"/>
    <w:rsid w:val="000526BB"/>
    <w:rsid w:val="000547A7"/>
    <w:rsid w:val="0005483A"/>
    <w:rsid w:val="00062DDB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75"/>
    <w:rsid w:val="001217EC"/>
    <w:rsid w:val="001265E8"/>
    <w:rsid w:val="00127CE6"/>
    <w:rsid w:val="001332FA"/>
    <w:rsid w:val="001348D5"/>
    <w:rsid w:val="00154F8D"/>
    <w:rsid w:val="00156DFB"/>
    <w:rsid w:val="00157832"/>
    <w:rsid w:val="00165990"/>
    <w:rsid w:val="00166AB5"/>
    <w:rsid w:val="001670D0"/>
    <w:rsid w:val="00192466"/>
    <w:rsid w:val="001929A4"/>
    <w:rsid w:val="00194387"/>
    <w:rsid w:val="00195E5A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1F752D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37716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9635B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1BE8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664"/>
    <w:rsid w:val="003C4A4F"/>
    <w:rsid w:val="003D27AE"/>
    <w:rsid w:val="003E1DC8"/>
    <w:rsid w:val="003E681C"/>
    <w:rsid w:val="003E6B97"/>
    <w:rsid w:val="003F1634"/>
    <w:rsid w:val="003F482F"/>
    <w:rsid w:val="00400B93"/>
    <w:rsid w:val="004148A5"/>
    <w:rsid w:val="0041562B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1955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3679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2FD3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4508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A7CC2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480E"/>
    <w:rsid w:val="00926618"/>
    <w:rsid w:val="00926E41"/>
    <w:rsid w:val="00931C3C"/>
    <w:rsid w:val="00934F6F"/>
    <w:rsid w:val="00937501"/>
    <w:rsid w:val="00945033"/>
    <w:rsid w:val="009465C4"/>
    <w:rsid w:val="00950718"/>
    <w:rsid w:val="0095223F"/>
    <w:rsid w:val="00953AB8"/>
    <w:rsid w:val="00954463"/>
    <w:rsid w:val="009622F9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B4882"/>
    <w:rsid w:val="009C10D9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1306"/>
    <w:rsid w:val="00AC64CD"/>
    <w:rsid w:val="00AD367A"/>
    <w:rsid w:val="00AD548D"/>
    <w:rsid w:val="00AD6FF2"/>
    <w:rsid w:val="00AE28D8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31CD"/>
    <w:rsid w:val="00B542EF"/>
    <w:rsid w:val="00B56DB5"/>
    <w:rsid w:val="00B64C01"/>
    <w:rsid w:val="00B67296"/>
    <w:rsid w:val="00B67527"/>
    <w:rsid w:val="00B735CC"/>
    <w:rsid w:val="00B744E5"/>
    <w:rsid w:val="00B77232"/>
    <w:rsid w:val="00B7759B"/>
    <w:rsid w:val="00B850C1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57EBE"/>
    <w:rsid w:val="00C635BE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3608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55BB5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965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181B"/>
    <w:rsid w:val="00F3273A"/>
    <w:rsid w:val="00F41BDE"/>
    <w:rsid w:val="00F42FA9"/>
    <w:rsid w:val="00F442D7"/>
    <w:rsid w:val="00F44D21"/>
    <w:rsid w:val="00F472B0"/>
    <w:rsid w:val="00F52064"/>
    <w:rsid w:val="00F54DB8"/>
    <w:rsid w:val="00F64268"/>
    <w:rsid w:val="00F650DE"/>
    <w:rsid w:val="00F6692B"/>
    <w:rsid w:val="00F75E23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20BD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  <w:style w:type="character" w:customStyle="1" w:styleId="jlqj4b">
    <w:name w:val="jlqj4b"/>
    <w:basedOn w:val="Policepardfaut"/>
    <w:rsid w:val="006A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1260</TotalTime>
  <Pages>6</Pages>
  <Words>787</Words>
  <Characters>4984</Characters>
  <Application>Microsoft Office Word</Application>
  <DocSecurity>0</DocSecurity>
  <Lines>41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 Preda</cp:lastModifiedBy>
  <cp:revision>65</cp:revision>
  <cp:lastPrinted>2016-10-10T12:44:00Z</cp:lastPrinted>
  <dcterms:created xsi:type="dcterms:W3CDTF">2020-05-05T14:28:00Z</dcterms:created>
  <dcterms:modified xsi:type="dcterms:W3CDTF">2022-10-19T09:26:00Z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