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B18C8" w14:textId="5EA6C3CF" w:rsidR="00CB6FF9" w:rsidRDefault="00C61C20" w:rsidP="001E56C4">
      <w:pPr>
        <w:widowControl/>
        <w:spacing w:before="360" w:after="36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proofErr w:type="spellStart"/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  <w:lang w:val="fr-FR"/>
        </w:rPr>
        <w:t>Defect</w:t>
      </w:r>
      <w:proofErr w:type="spellEnd"/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  <w:lang w:val="fr-FR"/>
        </w:rPr>
        <w:t xml:space="preserve"> Report </w:t>
      </w:r>
    </w:p>
    <w:p w14:paraId="102268A2" w14:textId="77777777" w:rsidR="0021587E" w:rsidRPr="0021587E" w:rsidRDefault="0021587E" w:rsidP="0021587E">
      <w:pPr>
        <w:pStyle w:val="1"/>
        <w:rPr>
          <w:rFonts w:ascii="Times New Roman" w:hAnsi="Times New Roman"/>
          <w:sz w:val="24"/>
          <w:szCs w:val="24"/>
        </w:rPr>
      </w:pPr>
      <w:r w:rsidRPr="0021587E">
        <w:t xml:space="preserve">PART 1 - TO BE COMPLETED BY WG CONVENOR/SECRETARIAT </w:t>
      </w:r>
    </w:p>
    <w:tbl>
      <w:tblPr>
        <w:tblW w:w="919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8"/>
        <w:gridCol w:w="3457"/>
      </w:tblGrid>
      <w:tr w:rsidR="0021587E" w:rsidRPr="0021587E" w14:paraId="6E6F04BA" w14:textId="77777777" w:rsidTr="002158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14B645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DEFECT REPORT NUMBER: 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12E04" w14:textId="05572762" w:rsidR="0021587E" w:rsidRPr="0021587E" w:rsidRDefault="00C61C2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 w:hint="eastAsia"/>
              </w:rPr>
              <w:t xml:space="preserve"> </w:t>
            </w:r>
            <w:r w:rsidR="000744CB">
              <w:rPr>
                <w:rFonts w:ascii="TimesNewRomanPSMT" w:eastAsia="Times New Roman" w:hAnsi="TimesNewRomanPSMT" w:cs="TimesNewRomanPSMT"/>
              </w:rPr>
              <w:t>SC29-WG03-2022-01</w:t>
            </w:r>
          </w:p>
        </w:tc>
      </w:tr>
      <w:tr w:rsidR="0021587E" w:rsidRPr="0021587E" w14:paraId="19F97EDC" w14:textId="77777777" w:rsidTr="002158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153308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WG CONVENOR/SECRETARIAT: 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37D45" w14:textId="2984C8CB" w:rsidR="0021587E" w:rsidRPr="0021587E" w:rsidRDefault="00C61C2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 w:hint="eastAsia"/>
              </w:rPr>
              <w:t xml:space="preserve"> </w:t>
            </w:r>
            <w:r w:rsidR="000744CB">
              <w:rPr>
                <w:rFonts w:ascii="TimesNewRomanPSMT" w:eastAsia="Times New Roman" w:hAnsi="TimesNewRomanPSMT" w:cs="TimesNewRomanPSMT"/>
              </w:rPr>
              <w:t xml:space="preserve">Dr. </w:t>
            </w:r>
            <w:proofErr w:type="spellStart"/>
            <w:r w:rsidR="000744CB">
              <w:rPr>
                <w:rFonts w:ascii="TimesNewRomanPSMT" w:eastAsia="Times New Roman" w:hAnsi="TimesNewRomanPSMT" w:cs="TimesNewRomanPSMT"/>
              </w:rPr>
              <w:t>Youngkwon</w:t>
            </w:r>
            <w:proofErr w:type="spellEnd"/>
            <w:r w:rsidR="000744CB">
              <w:rPr>
                <w:rFonts w:ascii="TimesNewRomanPSMT" w:eastAsia="Times New Roman" w:hAnsi="TimesNewRomanPSMT" w:cs="TimesNewRomanPSMT"/>
              </w:rPr>
              <w:t xml:space="preserve"> Lim</w:t>
            </w:r>
          </w:p>
        </w:tc>
      </w:tr>
      <w:tr w:rsidR="0021587E" w:rsidRPr="0021587E" w14:paraId="6BE563EE" w14:textId="77777777" w:rsidTr="002158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8479A5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DATE CIRCULATED BY WG CONVENOR/SECRETARIAT: 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B5980" w14:textId="7103C714" w:rsidR="0021587E" w:rsidRPr="0021587E" w:rsidRDefault="00C61C2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 w:hint="eastAsia"/>
              </w:rPr>
              <w:t xml:space="preserve"> </w:t>
            </w:r>
            <w:r w:rsidR="000744CB">
              <w:rPr>
                <w:rFonts w:ascii="TimesNewRomanPSMT" w:eastAsia="Times New Roman" w:hAnsi="TimesNewRomanPSMT" w:cs="TimesNewRomanPSMT"/>
              </w:rPr>
              <w:t>2022-03-28</w:t>
            </w:r>
          </w:p>
        </w:tc>
      </w:tr>
      <w:tr w:rsidR="0021587E" w:rsidRPr="0021587E" w14:paraId="478A57E2" w14:textId="77777777" w:rsidTr="002158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3798E5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DEADLINE ON RESPONSE FROM EDITOR: </w:t>
            </w:r>
          </w:p>
        </w:tc>
        <w:tc>
          <w:tcPr>
            <w:tcW w:w="3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177B6" w14:textId="18EE4E59" w:rsidR="0021587E" w:rsidRPr="0021587E" w:rsidRDefault="00C61C2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 w:hint="eastAsia"/>
              </w:rPr>
              <w:t xml:space="preserve"> </w:t>
            </w:r>
            <w:r w:rsidR="000744CB">
              <w:rPr>
                <w:rFonts w:ascii="TimesNewRomanPSMT" w:eastAsia="Times New Roman" w:hAnsi="TimesNewRomanPSMT" w:cs="TimesNewRomanPSMT"/>
              </w:rPr>
              <w:t>2022-04-07</w:t>
            </w:r>
          </w:p>
        </w:tc>
      </w:tr>
    </w:tbl>
    <w:p w14:paraId="215A5FFB" w14:textId="77777777" w:rsidR="0021587E" w:rsidRDefault="0021587E" w:rsidP="0021587E">
      <w:pPr>
        <w:pStyle w:val="1"/>
        <w:rPr>
          <w:rFonts w:ascii="Times New Roman" w:eastAsia="SimSun" w:hAnsi="Times New Roman"/>
          <w:szCs w:val="24"/>
          <w:lang w:val="fr-FR" w:eastAsia="zh-CN"/>
        </w:rPr>
      </w:pPr>
      <w:r>
        <w:t>P</w:t>
      </w:r>
      <w:r w:rsidRPr="0021587E">
        <w:t>ART 2 - TO BE COMPLETED BY SUBMITTER</w:t>
      </w: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950"/>
      </w:tblGrid>
      <w:tr w:rsidR="0021587E" w:rsidRPr="0021587E" w14:paraId="743EA596" w14:textId="77777777" w:rsidTr="00EB58EE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20E2B9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SUBMITTER: </w:t>
            </w:r>
          </w:p>
        </w:tc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69212" w14:textId="5FF8A47D" w:rsidR="0021587E" w:rsidRPr="0021587E" w:rsidRDefault="000D786B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/>
              </w:rPr>
              <w:t>Adrian Murtaza</w:t>
            </w:r>
          </w:p>
        </w:tc>
      </w:tr>
      <w:tr w:rsidR="0021587E" w:rsidRPr="0021587E" w14:paraId="1C5B6C88" w14:textId="77777777" w:rsidTr="00EB58EE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635EA9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FOR REVIEW BY: </w:t>
            </w:r>
          </w:p>
        </w:tc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333EA" w14:textId="3E6A0FF6" w:rsidR="0021587E" w:rsidRPr="0021587E" w:rsidRDefault="00475B60" w:rsidP="00475B60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 w:rsidRPr="00475B60">
              <w:rPr>
                <w:rFonts w:ascii="TimesNewRomanPSMT" w:eastAsia="Times New Roman" w:hAnsi="TimesNewRomanPSMT" w:cs="TimesNewRomanPSMT"/>
              </w:rPr>
              <w:t>ISO/IEC JTC 1/SC 29/WG 3</w:t>
            </w:r>
            <w:r>
              <w:rPr>
                <w:rFonts w:ascii="TimesNewRomanPSMT" w:eastAsia="Times New Roman" w:hAnsi="TimesNewRomanPSMT" w:cs="TimesNewRomanPSMT"/>
              </w:rPr>
              <w:t xml:space="preserve"> </w:t>
            </w:r>
          </w:p>
        </w:tc>
      </w:tr>
      <w:tr w:rsidR="0021587E" w:rsidRPr="0021587E" w14:paraId="6C98BE97" w14:textId="77777777" w:rsidTr="00EB58EE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F4CAF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DEFECT REPORT CONCERNING (number and title of International Standard: </w:t>
            </w:r>
          </w:p>
        </w:tc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DC704" w14:textId="1DC22AEE" w:rsidR="0021587E" w:rsidRPr="0021587E" w:rsidRDefault="000D786B" w:rsidP="000D786B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 w:rsidRPr="000D786B">
              <w:rPr>
                <w:rFonts w:ascii="TimesNewRomanPSMT" w:eastAsia="Times New Roman" w:hAnsi="TimesNewRomanPSMT" w:cs="TimesNewRomanPSMT"/>
              </w:rPr>
              <w:t>ISO/IEC 13818-1</w:t>
            </w:r>
            <w:r>
              <w:rPr>
                <w:rFonts w:ascii="TimesNewRomanPSMT" w:eastAsia="Times New Roman" w:hAnsi="TimesNewRomanPSMT" w:cs="TimesNewRomanPSMT"/>
              </w:rPr>
              <w:t xml:space="preserve"> (E</w:t>
            </w:r>
            <w:r w:rsidRPr="000D786B">
              <w:rPr>
                <w:rFonts w:ascii="TimesNewRomanPSMT" w:eastAsia="Times New Roman" w:hAnsi="TimesNewRomanPSMT" w:cs="TimesNewRomanPSMT"/>
              </w:rPr>
              <w:t>d</w:t>
            </w:r>
            <w:r>
              <w:rPr>
                <w:rFonts w:ascii="TimesNewRomanPSMT" w:eastAsia="Times New Roman" w:hAnsi="TimesNewRomanPSMT" w:cs="TimesNewRomanPSMT"/>
              </w:rPr>
              <w:t xml:space="preserve">ition </w:t>
            </w:r>
            <w:r w:rsidRPr="000D786B">
              <w:rPr>
                <w:rFonts w:ascii="TimesNewRomanPSMT" w:eastAsia="Times New Roman" w:hAnsi="TimesNewRomanPSMT" w:cs="TimesNewRomanPSMT"/>
              </w:rPr>
              <w:t>8</w:t>
            </w:r>
            <w:r>
              <w:rPr>
                <w:rFonts w:ascii="TimesNewRomanPSMT" w:eastAsia="Times New Roman" w:hAnsi="TimesNewRomanPSMT" w:cs="TimesNewRomanPSMT"/>
              </w:rPr>
              <w:t xml:space="preserve">), which is a common text with </w:t>
            </w:r>
            <w:r w:rsidRPr="000D786B">
              <w:rPr>
                <w:rFonts w:ascii="TimesNewRomanPSMT" w:eastAsia="Times New Roman" w:hAnsi="TimesNewRomanPSMT" w:cs="TimesNewRomanPSMT"/>
              </w:rPr>
              <w:t>Rec. ITU-T H.222.0 (06/2021)</w:t>
            </w:r>
          </w:p>
        </w:tc>
      </w:tr>
      <w:tr w:rsidR="0021587E" w:rsidRPr="0021587E" w14:paraId="32DB8B9E" w14:textId="77777777" w:rsidTr="00B350B2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AD49467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SOLUTION PROPOSED BY THE SUBMITTER (optional): </w:t>
            </w:r>
          </w:p>
        </w:tc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84DFC7A" w14:textId="7C66147A" w:rsidR="0021587E" w:rsidRPr="0021587E" w:rsidRDefault="000D786B" w:rsidP="0021587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/>
              </w:rPr>
              <w:t>Insert field in descriptor, which has been omitted accidentally during the drafting process</w:t>
            </w:r>
          </w:p>
        </w:tc>
      </w:tr>
      <w:tr w:rsidR="00771DE0" w:rsidRPr="0021587E" w14:paraId="7BE63CEC" w14:textId="77777777" w:rsidTr="00B350B2">
        <w:tc>
          <w:tcPr>
            <w:tcW w:w="451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880830" w14:textId="77777777" w:rsidR="00771DE0" w:rsidRPr="00771DE0" w:rsidRDefault="00771DE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>QUALIFIER</w:t>
            </w:r>
            <w:r w:rsidRPr="0021587E">
              <w:rPr>
                <w:rFonts w:ascii="TimesNewRomanPSMT" w:eastAsia="Times New Roman" w:hAnsi="TimesNewRomanPSMT" w:cs="TimesNewRomanPSMT"/>
              </w:rPr>
              <w:br/>
              <w:t xml:space="preserve">(e.g. error, omission, clarification required):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E079" w14:textId="092C42BE" w:rsidR="00771DE0" w:rsidRPr="0021587E" w:rsidRDefault="0060506D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/>
              </w:rPr>
              <w:t xml:space="preserve">Accidental </w:t>
            </w:r>
            <w:r w:rsidR="00475B60">
              <w:rPr>
                <w:rFonts w:ascii="TimesNewRomanPSMT" w:eastAsia="Times New Roman" w:hAnsi="TimesNewRomanPSMT" w:cs="TimesNewRomanPSMT"/>
              </w:rPr>
              <w:t>omission</w:t>
            </w:r>
            <w:r>
              <w:rPr>
                <w:rFonts w:ascii="TimesNewRomanPSMT" w:eastAsia="Times New Roman" w:hAnsi="TimesNewRomanPSMT" w:cs="TimesNewRomanPSMT"/>
              </w:rPr>
              <w:t xml:space="preserve">. </w:t>
            </w:r>
          </w:p>
        </w:tc>
      </w:tr>
      <w:tr w:rsidR="00771DE0" w:rsidRPr="0021587E" w14:paraId="23BD12CA" w14:textId="77777777" w:rsidTr="00771DE0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C2810" w14:textId="77777777" w:rsidR="00771DE0" w:rsidRPr="00771DE0" w:rsidRDefault="00771DE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>REFERENCES IN DOCUMENT</w:t>
            </w:r>
            <w:r w:rsidRPr="0021587E">
              <w:rPr>
                <w:rFonts w:ascii="TimesNewRomanPSMT" w:eastAsia="Times New Roman" w:hAnsi="TimesNewRomanPSMT" w:cs="TimesNewRomanPSMT"/>
              </w:rPr>
              <w:br/>
              <w:t xml:space="preserve">(e.g. page, clause, figure, and/or table numbers): </w:t>
            </w:r>
          </w:p>
        </w:tc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9D13E" w14:textId="7DA73D91" w:rsidR="00771DE0" w:rsidRPr="0021587E" w:rsidRDefault="00475B6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 w:rsidRPr="00475B60">
              <w:rPr>
                <w:rFonts w:ascii="TimesNewRomanPSMT" w:eastAsia="Times New Roman" w:hAnsi="TimesNewRomanPSMT" w:cs="TimesNewRomanPSMT"/>
              </w:rPr>
              <w:t>Table 2-121 – MPEG-H 3D audio descriptor</w:t>
            </w:r>
          </w:p>
        </w:tc>
      </w:tr>
      <w:tr w:rsidR="00771DE0" w:rsidRPr="0021587E" w14:paraId="28C02E45" w14:textId="77777777" w:rsidTr="00B350B2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7868C00" w14:textId="77777777" w:rsidR="00771DE0" w:rsidRPr="00771DE0" w:rsidRDefault="00771DE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>NATURE OF DEFECT</w:t>
            </w:r>
            <w:r w:rsidRPr="0021587E">
              <w:rPr>
                <w:rFonts w:ascii="TimesNewRomanPSMT" w:eastAsia="Times New Roman" w:hAnsi="TimesNewRomanPSMT" w:cs="TimesNewRomanPSMT"/>
              </w:rPr>
              <w:br/>
              <w:t xml:space="preserve">(complete, concise explanation of the perceived problem): </w:t>
            </w:r>
          </w:p>
        </w:tc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B5B3D0" w14:textId="42CD1A2E" w:rsidR="00771DE0" w:rsidRPr="0021587E" w:rsidRDefault="00475B60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/>
              </w:rPr>
              <w:t xml:space="preserve">The field </w:t>
            </w:r>
            <w:proofErr w:type="spellStart"/>
            <w:r w:rsidRPr="00475B60">
              <w:rPr>
                <w:rFonts w:ascii="TimesNewRomanPSMT" w:eastAsia="Times New Roman" w:hAnsi="TimesNewRomanPSMT" w:cs="TimesNewRomanPSMT"/>
              </w:rPr>
              <w:t>compatibleProfileSetsPresent</w:t>
            </w:r>
            <w:proofErr w:type="spellEnd"/>
            <w:r>
              <w:rPr>
                <w:rFonts w:ascii="TimesNewRomanPSMT" w:eastAsia="Times New Roman" w:hAnsi="TimesNewRomanPSMT" w:cs="TimesNewRomanPSMT"/>
              </w:rPr>
              <w:t xml:space="preserve"> of which the semantics is described in </w:t>
            </w:r>
            <w:r w:rsidR="00F4347D">
              <w:rPr>
                <w:rFonts w:ascii="TimesNewRomanPSMT" w:eastAsia="Times New Roman" w:hAnsi="TimesNewRomanPSMT" w:cs="TimesNewRomanPSMT"/>
              </w:rPr>
              <w:t xml:space="preserve">2.6.107 </w:t>
            </w:r>
            <w:r>
              <w:rPr>
                <w:rFonts w:ascii="TimesNewRomanPSMT" w:eastAsia="Times New Roman" w:hAnsi="TimesNewRomanPSMT" w:cs="TimesNewRomanPSMT"/>
              </w:rPr>
              <w:t>is missing in the syntax table.</w:t>
            </w:r>
            <w:r w:rsidR="0060506D">
              <w:rPr>
                <w:rFonts w:ascii="TimesNewRomanPSMT" w:eastAsia="Times New Roman" w:hAnsi="TimesNewRomanPSMT" w:cs="TimesNewRomanPSMT"/>
              </w:rPr>
              <w:t xml:space="preserve"> The syntax also depends on the value of this field. This can lead to incorrect or unsafe application of the International Standard. </w:t>
            </w:r>
          </w:p>
        </w:tc>
      </w:tr>
    </w:tbl>
    <w:p w14:paraId="4B6F0BAE" w14:textId="77777777" w:rsidR="00960A19" w:rsidRDefault="0021587E" w:rsidP="0021587E">
      <w:pPr>
        <w:pStyle w:val="1"/>
        <w:rPr>
          <w:rFonts w:ascii="Times New Roman" w:eastAsia="SimSun" w:hAnsi="Times New Roman"/>
          <w:sz w:val="24"/>
          <w:szCs w:val="24"/>
          <w:lang w:val="en-GB" w:eastAsia="zh-CN"/>
        </w:rPr>
      </w:pPr>
      <w:r w:rsidRPr="0021587E">
        <w:t>PART 3 - EDITOR'S RESPONSE</w:t>
      </w:r>
    </w:p>
    <w:p w14:paraId="7E1FFA48" w14:textId="77777777" w:rsidR="0021587E" w:rsidRDefault="0021587E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94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15"/>
        <w:gridCol w:w="4950"/>
      </w:tblGrid>
      <w:tr w:rsidR="0021587E" w:rsidRPr="0021587E" w14:paraId="5A918661" w14:textId="77777777" w:rsidTr="00EB58EE"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1A7D3" w14:textId="77777777" w:rsidR="0021587E" w:rsidRPr="0021587E" w:rsidRDefault="0021587E" w:rsidP="00EB58EE">
            <w:pPr>
              <w:widowControl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87E">
              <w:rPr>
                <w:rFonts w:ascii="TimesNewRomanPSMT" w:eastAsia="Times New Roman" w:hAnsi="TimesNewRomanPSMT" w:cs="TimesNewRomanPSMT"/>
              </w:rPr>
              <w:t xml:space="preserve">ANY MATERIAL PROPOSED FOR PROCESSING AS A TECHNICAL CORRIGENDUM TO, AN AMENDMENT TO, OR A COMMENTARY ON THE INTERNATIONAL STANDARD IS ATTACHED TO THIS COMPLETED REPORT: </w:t>
            </w:r>
          </w:p>
        </w:tc>
        <w:tc>
          <w:tcPr>
            <w:tcW w:w="4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134F" w14:textId="706BC218" w:rsidR="0021587E" w:rsidRPr="0021587E" w:rsidRDefault="002A167B" w:rsidP="00EB58EE">
            <w:pPr>
              <w:widowControl/>
              <w:spacing w:before="100" w:beforeAutospacing="1" w:after="100" w:afterAutospacing="1" w:line="240" w:lineRule="auto"/>
              <w:rPr>
                <w:rFonts w:ascii="TimesNewRomanPSMT" w:eastAsia="Times New Roman" w:hAnsi="TimesNewRomanPSMT" w:cs="TimesNewRomanPSMT"/>
              </w:rPr>
            </w:pPr>
            <w:r>
              <w:rPr>
                <w:rFonts w:ascii="TimesNewRomanPSMT" w:eastAsia="Times New Roman" w:hAnsi="TimesNewRomanPSMT" w:cs="TimesNewRomanPSMT"/>
              </w:rPr>
              <w:t xml:space="preserve">See attached document. </w:t>
            </w:r>
            <w:r>
              <w:rPr>
                <w:rFonts w:ascii="TimesNewRomanPSMT" w:eastAsia="Times New Roman" w:hAnsi="TimesNewRomanPSMT" w:cs="TimesNewRomanPSMT"/>
              </w:rPr>
              <w:br/>
            </w:r>
            <w:r w:rsidRPr="002A167B">
              <w:rPr>
                <w:rFonts w:ascii="TimesNewRomanPSMT" w:eastAsia="Times New Roman" w:hAnsi="TimesNewRomanPSMT" w:cs="TimesNewRomanPSMT"/>
              </w:rPr>
              <w:t>WG03Nxxxx_ISO-IEC_13818-1(Ed</w:t>
            </w:r>
            <w:proofErr w:type="gramStart"/>
            <w:r w:rsidRPr="002A167B">
              <w:rPr>
                <w:rFonts w:ascii="TimesNewRomanPSMT" w:eastAsia="Times New Roman" w:hAnsi="TimesNewRomanPSMT" w:cs="TimesNewRomanPSMT"/>
              </w:rPr>
              <w:t>8)Cor</w:t>
            </w:r>
            <w:proofErr w:type="gramEnd"/>
            <w:r w:rsidRPr="002A167B">
              <w:rPr>
                <w:rFonts w:ascii="TimesNewRomanPSMT" w:eastAsia="Times New Roman" w:hAnsi="TimesNewRomanPSMT" w:cs="TimesNewRomanPSMT"/>
              </w:rPr>
              <w:t>1_</w:t>
            </w:r>
            <w:r>
              <w:rPr>
                <w:rFonts w:ascii="TimesNewRomanPSMT" w:eastAsia="Times New Roman" w:hAnsi="TimesNewRomanPSMT" w:cs="TimesNewRomanPSMT"/>
              </w:rPr>
              <w:t>Rec-ITU-T_</w:t>
            </w:r>
            <w:r w:rsidRPr="002A167B">
              <w:rPr>
                <w:rFonts w:ascii="TimesNewRomanPSMT" w:eastAsia="Times New Roman" w:hAnsi="TimesNewRomanPSMT" w:cs="TimesNewRomanPSMT"/>
              </w:rPr>
              <w:t>H.222.0(06-2021)C1.docx</w:t>
            </w:r>
          </w:p>
        </w:tc>
      </w:tr>
    </w:tbl>
    <w:p w14:paraId="1BDD186C" w14:textId="77777777" w:rsidR="0021587E" w:rsidRPr="0021587E" w:rsidRDefault="0021587E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</w:p>
    <w:sectPr w:rsidR="0021587E" w:rsidRPr="0021587E" w:rsidSect="001E56C4">
      <w:headerReference w:type="first" r:id="rId8"/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E91C7" w14:textId="77777777" w:rsidR="0022314E" w:rsidRDefault="0022314E" w:rsidP="00717E1B">
      <w:pPr>
        <w:spacing w:after="0" w:line="240" w:lineRule="auto"/>
      </w:pPr>
      <w:r>
        <w:separator/>
      </w:r>
    </w:p>
  </w:endnote>
  <w:endnote w:type="continuationSeparator" w:id="0">
    <w:p w14:paraId="34C4C27A" w14:textId="77777777" w:rsidR="0022314E" w:rsidRDefault="0022314E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altName w:val="Arial"/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46238" w14:textId="77777777" w:rsidR="0022314E" w:rsidRDefault="0022314E" w:rsidP="00717E1B">
      <w:pPr>
        <w:spacing w:after="0" w:line="240" w:lineRule="auto"/>
      </w:pPr>
      <w:r>
        <w:separator/>
      </w:r>
    </w:p>
  </w:footnote>
  <w:footnote w:type="continuationSeparator" w:id="0">
    <w:p w14:paraId="4D71FB9A" w14:textId="77777777" w:rsidR="0022314E" w:rsidRDefault="0022314E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3C8BE" w14:textId="77777777" w:rsidR="001E56C4" w:rsidRPr="00573644" w:rsidRDefault="001E56C4" w:rsidP="001E56C4">
    <w:pPr>
      <w:tabs>
        <w:tab w:val="center" w:pos="4500"/>
        <w:tab w:val="right" w:pos="9000"/>
      </w:tabs>
      <w:spacing w:after="0" w:line="360" w:lineRule="auto"/>
      <w:ind w:left="124" w:right="-20"/>
      <w:jc w:val="center"/>
      <w:rPr>
        <w:rFonts w:ascii="Times New Roman" w:eastAsia="Times New Roman" w:hAnsi="Times New Roman"/>
        <w:b/>
        <w:bCs/>
        <w:spacing w:val="2"/>
        <w:w w:val="114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03441">
    <w:abstractNumId w:val="27"/>
  </w:num>
  <w:num w:numId="2" w16cid:durableId="1495683451">
    <w:abstractNumId w:val="2"/>
  </w:num>
  <w:num w:numId="3" w16cid:durableId="935137839">
    <w:abstractNumId w:val="22"/>
  </w:num>
  <w:num w:numId="4" w16cid:durableId="1184251416">
    <w:abstractNumId w:val="7"/>
  </w:num>
  <w:num w:numId="5" w16cid:durableId="1738821500">
    <w:abstractNumId w:val="17"/>
  </w:num>
  <w:num w:numId="6" w16cid:durableId="398332473">
    <w:abstractNumId w:val="28"/>
  </w:num>
  <w:num w:numId="7" w16cid:durableId="648749277">
    <w:abstractNumId w:val="19"/>
  </w:num>
  <w:num w:numId="8" w16cid:durableId="581911146">
    <w:abstractNumId w:val="3"/>
  </w:num>
  <w:num w:numId="9" w16cid:durableId="1147210276">
    <w:abstractNumId w:val="5"/>
  </w:num>
  <w:num w:numId="10" w16cid:durableId="1371220064">
    <w:abstractNumId w:val="11"/>
  </w:num>
  <w:num w:numId="11" w16cid:durableId="861821720">
    <w:abstractNumId w:val="20"/>
  </w:num>
  <w:num w:numId="12" w16cid:durableId="1968078428">
    <w:abstractNumId w:val="13"/>
  </w:num>
  <w:num w:numId="13" w16cid:durableId="552039802">
    <w:abstractNumId w:val="0"/>
  </w:num>
  <w:num w:numId="14" w16cid:durableId="169878907">
    <w:abstractNumId w:val="9"/>
  </w:num>
  <w:num w:numId="15" w16cid:durableId="869032148">
    <w:abstractNumId w:val="26"/>
  </w:num>
  <w:num w:numId="16" w16cid:durableId="1814256497">
    <w:abstractNumId w:val="12"/>
  </w:num>
  <w:num w:numId="17" w16cid:durableId="1323506455">
    <w:abstractNumId w:val="8"/>
  </w:num>
  <w:num w:numId="18" w16cid:durableId="1841654031">
    <w:abstractNumId w:val="6"/>
  </w:num>
  <w:num w:numId="19" w16cid:durableId="2047756867">
    <w:abstractNumId w:val="4"/>
  </w:num>
  <w:num w:numId="20" w16cid:durableId="195774905">
    <w:abstractNumId w:val="10"/>
  </w:num>
  <w:num w:numId="21" w16cid:durableId="768353537">
    <w:abstractNumId w:val="16"/>
  </w:num>
  <w:num w:numId="22" w16cid:durableId="2121097514">
    <w:abstractNumId w:val="23"/>
  </w:num>
  <w:num w:numId="23" w16cid:durableId="1729572963">
    <w:abstractNumId w:val="14"/>
  </w:num>
  <w:num w:numId="24" w16cid:durableId="1049108690">
    <w:abstractNumId w:val="21"/>
  </w:num>
  <w:num w:numId="25" w16cid:durableId="1355421978">
    <w:abstractNumId w:val="24"/>
  </w:num>
  <w:num w:numId="26" w16cid:durableId="225923137">
    <w:abstractNumId w:val="1"/>
  </w:num>
  <w:num w:numId="27" w16cid:durableId="2029217439">
    <w:abstractNumId w:val="15"/>
  </w:num>
  <w:num w:numId="28" w16cid:durableId="506477665">
    <w:abstractNumId w:val="25"/>
  </w:num>
  <w:num w:numId="29" w16cid:durableId="195023415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87E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44CB"/>
    <w:rsid w:val="000778F8"/>
    <w:rsid w:val="00080DAC"/>
    <w:rsid w:val="00093F5A"/>
    <w:rsid w:val="000C5808"/>
    <w:rsid w:val="000D4AC4"/>
    <w:rsid w:val="000D58DC"/>
    <w:rsid w:val="000D786B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53591"/>
    <w:rsid w:val="001676B9"/>
    <w:rsid w:val="00171211"/>
    <w:rsid w:val="0017476B"/>
    <w:rsid w:val="00181448"/>
    <w:rsid w:val="00184896"/>
    <w:rsid w:val="001920B7"/>
    <w:rsid w:val="001A13E2"/>
    <w:rsid w:val="001A60D5"/>
    <w:rsid w:val="001A77B5"/>
    <w:rsid w:val="001C122D"/>
    <w:rsid w:val="001C2B74"/>
    <w:rsid w:val="001C4CCD"/>
    <w:rsid w:val="001C7C63"/>
    <w:rsid w:val="001D56A9"/>
    <w:rsid w:val="001E4B8A"/>
    <w:rsid w:val="001E56C4"/>
    <w:rsid w:val="001E6EEC"/>
    <w:rsid w:val="001F3C5D"/>
    <w:rsid w:val="0021587E"/>
    <w:rsid w:val="00221F51"/>
    <w:rsid w:val="0022314E"/>
    <w:rsid w:val="002553B1"/>
    <w:rsid w:val="00262DE7"/>
    <w:rsid w:val="00272D6B"/>
    <w:rsid w:val="002739A4"/>
    <w:rsid w:val="00273A66"/>
    <w:rsid w:val="002869A6"/>
    <w:rsid w:val="00286C15"/>
    <w:rsid w:val="0028710D"/>
    <w:rsid w:val="002A167B"/>
    <w:rsid w:val="002A6BFB"/>
    <w:rsid w:val="002B2FD2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4ADB"/>
    <w:rsid w:val="00441368"/>
    <w:rsid w:val="00462D9A"/>
    <w:rsid w:val="0046449E"/>
    <w:rsid w:val="00467971"/>
    <w:rsid w:val="0047210E"/>
    <w:rsid w:val="00475B60"/>
    <w:rsid w:val="00494821"/>
    <w:rsid w:val="00497E8E"/>
    <w:rsid w:val="004A44EF"/>
    <w:rsid w:val="004A5585"/>
    <w:rsid w:val="004B298C"/>
    <w:rsid w:val="004D2FF8"/>
    <w:rsid w:val="004E0C82"/>
    <w:rsid w:val="004E1E01"/>
    <w:rsid w:val="004E4F66"/>
    <w:rsid w:val="004E5FB5"/>
    <w:rsid w:val="004F0ACC"/>
    <w:rsid w:val="004F593C"/>
    <w:rsid w:val="005132BF"/>
    <w:rsid w:val="00515BE2"/>
    <w:rsid w:val="00516F9C"/>
    <w:rsid w:val="0052544E"/>
    <w:rsid w:val="0054391B"/>
    <w:rsid w:val="00546966"/>
    <w:rsid w:val="005565BE"/>
    <w:rsid w:val="00557EDB"/>
    <w:rsid w:val="00573644"/>
    <w:rsid w:val="00573821"/>
    <w:rsid w:val="00574298"/>
    <w:rsid w:val="005769BD"/>
    <w:rsid w:val="00585F50"/>
    <w:rsid w:val="00591C15"/>
    <w:rsid w:val="005A05C0"/>
    <w:rsid w:val="005A1575"/>
    <w:rsid w:val="005A2449"/>
    <w:rsid w:val="005A4680"/>
    <w:rsid w:val="005B0DB3"/>
    <w:rsid w:val="005B215F"/>
    <w:rsid w:val="005B7CBC"/>
    <w:rsid w:val="005C42D8"/>
    <w:rsid w:val="005D1A6F"/>
    <w:rsid w:val="005D561E"/>
    <w:rsid w:val="005E1400"/>
    <w:rsid w:val="0060019F"/>
    <w:rsid w:val="0060506D"/>
    <w:rsid w:val="006074A9"/>
    <w:rsid w:val="00625A92"/>
    <w:rsid w:val="006323E5"/>
    <w:rsid w:val="00632565"/>
    <w:rsid w:val="0063664B"/>
    <w:rsid w:val="00643BD9"/>
    <w:rsid w:val="00650C9A"/>
    <w:rsid w:val="00660793"/>
    <w:rsid w:val="00685762"/>
    <w:rsid w:val="00686EE6"/>
    <w:rsid w:val="00697E1E"/>
    <w:rsid w:val="006A019E"/>
    <w:rsid w:val="006B2D08"/>
    <w:rsid w:val="006D1A4E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71DE0"/>
    <w:rsid w:val="007B7543"/>
    <w:rsid w:val="007C2FE6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04FB"/>
    <w:rsid w:val="00892954"/>
    <w:rsid w:val="008B553A"/>
    <w:rsid w:val="008D63C4"/>
    <w:rsid w:val="008D6636"/>
    <w:rsid w:val="008E2AD5"/>
    <w:rsid w:val="008E3896"/>
    <w:rsid w:val="008E7E59"/>
    <w:rsid w:val="008F3624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01B9"/>
    <w:rsid w:val="009C2439"/>
    <w:rsid w:val="009C3B82"/>
    <w:rsid w:val="009D0066"/>
    <w:rsid w:val="009D2F2A"/>
    <w:rsid w:val="009D67CD"/>
    <w:rsid w:val="009E5C91"/>
    <w:rsid w:val="009F559E"/>
    <w:rsid w:val="00A04776"/>
    <w:rsid w:val="00A12689"/>
    <w:rsid w:val="00A144F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6748E"/>
    <w:rsid w:val="00A84784"/>
    <w:rsid w:val="00A877C5"/>
    <w:rsid w:val="00A9007A"/>
    <w:rsid w:val="00A948E4"/>
    <w:rsid w:val="00A97C60"/>
    <w:rsid w:val="00AA7246"/>
    <w:rsid w:val="00AB0A71"/>
    <w:rsid w:val="00AB2FC7"/>
    <w:rsid w:val="00AD3156"/>
    <w:rsid w:val="00AE175E"/>
    <w:rsid w:val="00AE5BF6"/>
    <w:rsid w:val="00AE7428"/>
    <w:rsid w:val="00B11F57"/>
    <w:rsid w:val="00B12E14"/>
    <w:rsid w:val="00B21FC6"/>
    <w:rsid w:val="00B22D13"/>
    <w:rsid w:val="00B350B2"/>
    <w:rsid w:val="00B45CC1"/>
    <w:rsid w:val="00B514B8"/>
    <w:rsid w:val="00B62CD2"/>
    <w:rsid w:val="00B72387"/>
    <w:rsid w:val="00BB53D3"/>
    <w:rsid w:val="00BD1631"/>
    <w:rsid w:val="00BD4E34"/>
    <w:rsid w:val="00BD5142"/>
    <w:rsid w:val="00C00A61"/>
    <w:rsid w:val="00C10A59"/>
    <w:rsid w:val="00C117CF"/>
    <w:rsid w:val="00C433F5"/>
    <w:rsid w:val="00C46C69"/>
    <w:rsid w:val="00C5063F"/>
    <w:rsid w:val="00C530BD"/>
    <w:rsid w:val="00C61C20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A601D"/>
    <w:rsid w:val="00DB3208"/>
    <w:rsid w:val="00DC7747"/>
    <w:rsid w:val="00DD00EE"/>
    <w:rsid w:val="00DE55A1"/>
    <w:rsid w:val="00DE663F"/>
    <w:rsid w:val="00DE6DAF"/>
    <w:rsid w:val="00E06288"/>
    <w:rsid w:val="00E07DA9"/>
    <w:rsid w:val="00E4182D"/>
    <w:rsid w:val="00E41EDE"/>
    <w:rsid w:val="00E44084"/>
    <w:rsid w:val="00E547DE"/>
    <w:rsid w:val="00E80587"/>
    <w:rsid w:val="00E82434"/>
    <w:rsid w:val="00E90211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347D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96F92"/>
    <w:rsid w:val="00FA2BA0"/>
    <w:rsid w:val="00FC4763"/>
    <w:rsid w:val="00FD0809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33F508"/>
  <w15:chartTrackingRefBased/>
  <w15:docId w15:val="{AA64622B-9D45-3044-987D-C797E14D1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basedOn w:val="a"/>
    <w:next w:val="a"/>
    <w:link w:val="30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basedOn w:val="a"/>
    <w:next w:val="a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basedOn w:val="a"/>
    <w:next w:val="a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link w:val="3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link w:val="2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styleId="afb">
    <w:name w:val="Unresolved Mention"/>
    <w:uiPriority w:val="99"/>
    <w:semiHidden/>
    <w:unhideWhenUsed/>
    <w:rsid w:val="001E56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1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64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6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90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7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7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4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2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9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4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53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8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68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76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59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6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58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9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875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7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9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03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46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22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2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5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DaveG49/Documents/working/stds_bodies/mpeg/Geneva2019/Mxxxxx_output_template_R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92919-505E-4244-AFB5-22CCC964D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Mxxxxx_output_template_R4.dot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ISO/IEC 23008-12 Defect Report for COR1 and 2nd edition</vt:lpstr>
      <vt:lpstr>ISO/IEC 23008-12 Defect Report for COR1 and 2nd edition</vt:lpstr>
      <vt:lpstr>ISO/IEC 23008-12 Defect Report for COR1 and 2nd edition</vt:lpstr>
    </vt:vector>
  </TitlesOfParts>
  <Manager/>
  <Company/>
  <LinksUpToDate>false</LinksUpToDate>
  <CharactersWithSpaces>1489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ISO/IEC 23008-12 Defect Report for COR1 and 2nd edition</dc:title>
  <dc:subject/>
  <dc:creator>David Singer</dc:creator>
  <cp:keywords/>
  <dc:description/>
  <cp:lastModifiedBy>Koike Mayumi</cp:lastModifiedBy>
  <cp:revision>4</cp:revision>
  <dcterms:created xsi:type="dcterms:W3CDTF">2022-04-07T08:15:00Z</dcterms:created>
  <dcterms:modified xsi:type="dcterms:W3CDTF">2022-04-07T09:22:00Z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N18730</vt:lpwstr>
  </property>
</Properties>
</file>