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24CF8417"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E90B57">
        <w:rPr>
          <w:rFonts w:ascii="Times New Roman" w:hAnsi="Times New Roman" w:cs="Times New Roman"/>
          <w:spacing w:val="28"/>
          <w:w w:val="115"/>
          <w:sz w:val="48"/>
          <w:szCs w:val="48"/>
          <w:u w:val="thick"/>
          <w:lang w:val="en-GB"/>
        </w:rPr>
        <w:t>525</w:t>
      </w:r>
      <w:r w:rsidR="00850165" w:rsidRPr="00A6666B">
        <w:rPr>
          <w:rFonts w:ascii="Times New Roman" w:hAnsi="Times New Roman" w:cs="Times New Roman"/>
          <w:spacing w:val="28"/>
          <w:w w:val="115"/>
          <w:sz w:val="48"/>
          <w:szCs w:val="48"/>
          <w:u w:val="thick"/>
          <w:lang w:val="en-GB"/>
        </w:rPr>
        <w:fldChar w:fldCharType="end"/>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606667D7"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2A162D">
        <w:rPr>
          <w:noProof/>
          <w:snapToGrid w:val="0"/>
          <w:lang w:val="en-GB"/>
        </w:rPr>
        <w:t>2022-01-21</w:t>
      </w:r>
      <w:r w:rsidRPr="00A6666B">
        <w:rPr>
          <w:snapToGrid w:val="0"/>
          <w:lang w:val="en-GB"/>
        </w:rPr>
        <w:fldChar w:fldCharType="end"/>
      </w:r>
      <w:r w:rsidR="00133915">
        <w:rPr>
          <w:snapToGrid w:val="0"/>
          <w:lang w:val="en-GB"/>
        </w:rPr>
        <w:t>21</w:t>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7C51E1D"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045614">
        <w:rPr>
          <w:snapToGrid w:val="0"/>
          <w:lang w:val="en-GB"/>
        </w:rPr>
        <w:t>8</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08F68752"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E90B57">
        <w:rPr>
          <w:rFonts w:eastAsia="SimSun"/>
          <w:b/>
          <w:sz w:val="48"/>
          <w:lang w:val="en-GB" w:eastAsia="zh-CN"/>
        </w:rPr>
        <w:t>N0</w:t>
      </w:r>
      <w:r w:rsidR="00E90B57">
        <w:rPr>
          <w:rFonts w:eastAsia="SimSun"/>
          <w:b/>
          <w:sz w:val="48"/>
          <w:lang w:val="en-GB" w:eastAsia="zh-CN"/>
        </w:rPr>
        <w:t>525</w:t>
      </w:r>
    </w:p>
    <w:p w14:paraId="043642E8" w14:textId="6FF647B7" w:rsidR="00D97597" w:rsidRDefault="00E90B57"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Pr>
          <w:rFonts w:eastAsia="SimSun"/>
          <w:b/>
          <w:noProof/>
          <w:sz w:val="28"/>
          <w:lang w:val="en-GB" w:eastAsia="zh-CN"/>
        </w:rPr>
        <w:t>April</w:t>
      </w:r>
      <w:r>
        <w:rPr>
          <w:rFonts w:eastAsia="SimSun"/>
          <w:b/>
          <w:noProof/>
          <w:sz w:val="28"/>
          <w:lang w:val="en-GB" w:eastAsia="zh-CN"/>
        </w:rPr>
        <w:t xml:space="preserve"> 2022</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28123B16" w:rsidR="00D97597" w:rsidRDefault="00E90B57">
            <w:pPr>
              <w:suppressAutoHyphens/>
              <w:rPr>
                <w:b/>
                <w:lang w:val="en-GB"/>
              </w:rPr>
            </w:pPr>
            <w:r>
              <w:rPr>
                <w:b/>
                <w:lang w:val="en-GB"/>
              </w:rPr>
              <w:t>21</w:t>
            </w:r>
            <w:r>
              <w:rPr>
                <w:b/>
                <w:lang w:val="en-GB"/>
              </w:rPr>
              <w:t>418</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0BA12472" w:rsidR="00850165" w:rsidRPr="004825A6"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lastRenderedPageBreak/>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lastRenderedPageBreak/>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are encapsulated in multiple sets of ISOBMFF </w:t>
      </w:r>
      <w:proofErr w:type="gramStart"/>
      <w:r>
        <w:t>volumetric</w:t>
      </w:r>
      <w:proofErr w:type="gramEnd"/>
      <w:r>
        <w:t xml:space="preserve">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lastRenderedPageBreak/>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D41415">
        <w:fldChar w:fldCharType="begin"/>
      </w:r>
      <w:r w:rsidR="00D41415">
        <w:instrText xml:space="preserve"> SEQ Figure \* ARABIC </w:instrText>
      </w:r>
      <w:r w:rsidR="00D41415">
        <w:fldChar w:fldCharType="separate"/>
      </w:r>
      <w:r>
        <w:rPr>
          <w:noProof/>
        </w:rPr>
        <w:t>1</w:t>
      </w:r>
      <w:r w:rsidR="00D41415">
        <w:rPr>
          <w:noProof/>
        </w:rPr>
        <w:fldChar w:fldCharType="end"/>
      </w:r>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D41415">
        <w:fldChar w:fldCharType="begin"/>
      </w:r>
      <w:r w:rsidR="00D41415">
        <w:instrText xml:space="preserve"> SEQ Figure \* ARABIC </w:instrText>
      </w:r>
      <w:r w:rsidR="00D41415">
        <w:fldChar w:fldCharType="separate"/>
      </w:r>
      <w:r>
        <w:rPr>
          <w:noProof/>
        </w:rPr>
        <w:t>2</w:t>
      </w:r>
      <w:r w:rsidR="00D41415">
        <w:rPr>
          <w:noProof/>
        </w:rPr>
        <w:fldChar w:fldCharType="end"/>
      </w:r>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D41415">
        <w:fldChar w:fldCharType="begin"/>
      </w:r>
      <w:r w:rsidR="00D41415">
        <w:instrText xml:space="preserve"> SEQ Figure \* ARABIC </w:instrText>
      </w:r>
      <w:r w:rsidR="00D41415">
        <w:fldChar w:fldCharType="separate"/>
      </w:r>
      <w:r>
        <w:rPr>
          <w:noProof/>
        </w:rPr>
        <w:t>3</w:t>
      </w:r>
      <w:r w:rsidR="00D41415">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D41415">
        <w:fldChar w:fldCharType="begin"/>
      </w:r>
      <w:r w:rsidR="00D41415">
        <w:instrText xml:space="preserve"> SEQ Figure \* ARABIC </w:instrText>
      </w:r>
      <w:r w:rsidR="00D41415">
        <w:fldChar w:fldCharType="separate"/>
      </w:r>
      <w:r>
        <w:rPr>
          <w:noProof/>
        </w:rPr>
        <w:t>2</w:t>
      </w:r>
      <w:r w:rsidR="00D41415">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D41415">
        <w:fldChar w:fldCharType="begin"/>
      </w:r>
      <w:r w:rsidR="00D41415">
        <w:instrText xml:space="preserve"> SEQ Figure \* ARABIC </w:instrText>
      </w:r>
      <w:r w:rsidR="00D41415">
        <w:fldChar w:fldCharType="separate"/>
      </w:r>
      <w:r>
        <w:rPr>
          <w:noProof/>
        </w:rPr>
        <w:t>3</w:t>
      </w:r>
      <w:r w:rsidR="00D41415">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xml:space="preserve">, independent of whether regions defined within are static or </w:t>
      </w:r>
      <w:proofErr w:type="gramStart"/>
      <w:r>
        <w:t>dynamic;</w:t>
      </w:r>
      <w:proofErr w:type="gramEnd"/>
    </w:p>
    <w:p w14:paraId="7C2DD359" w14:textId="77777777" w:rsidR="00F967A9" w:rsidRDefault="00F967A9" w:rsidP="00236980">
      <w:pPr>
        <w:pStyle w:val="ListParagraph"/>
        <w:numPr>
          <w:ilvl w:val="0"/>
          <w:numId w:val="35"/>
        </w:numPr>
        <w:tabs>
          <w:tab w:val="left" w:pos="403"/>
        </w:tabs>
        <w:spacing w:after="240" w:line="240" w:lineRule="atLeast"/>
      </w:pPr>
      <w:r>
        <w:t xml:space="preserve">signal static V3C spatial regions by placing their information data structure in a sample entry of a V3C media </w:t>
      </w:r>
      <w:proofErr w:type="gramStart"/>
      <w:r>
        <w:t>track;</w:t>
      </w:r>
      <w:proofErr w:type="gramEnd"/>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x</w:t>
      </w:r>
      <w:proofErr w:type="spellEnd"/>
      <w:r w:rsidRPr="00BB228A">
        <w:rPr>
          <w:rFonts w:ascii="Courier" w:eastAsia="Batang" w:hAnsi="Courier"/>
          <w:sz w:val="20"/>
          <w:szCs w:val="22"/>
          <w:lang w:eastAsia="ja-JP"/>
        </w:rPr>
        <w:t>;</w:t>
      </w:r>
      <w:proofErr w:type="gramEnd"/>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y</w:t>
      </w:r>
      <w:proofErr w:type="spellEnd"/>
      <w:r w:rsidRPr="00BB228A">
        <w:rPr>
          <w:rFonts w:ascii="Courier" w:eastAsia="Batang" w:hAnsi="Courier"/>
          <w:sz w:val="20"/>
          <w:szCs w:val="22"/>
          <w:lang w:eastAsia="ja-JP"/>
        </w:rPr>
        <w:t>;</w:t>
      </w:r>
      <w:proofErr w:type="gramEnd"/>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z</w:t>
      </w:r>
      <w:proofErr w:type="spellEnd"/>
      <w:r w:rsidRPr="00BB228A">
        <w:rPr>
          <w:rFonts w:ascii="Courier" w:eastAsia="Batang" w:hAnsi="Courier"/>
          <w:sz w:val="20"/>
          <w:szCs w:val="22"/>
          <w:lang w:eastAsia="ja-JP"/>
        </w:rPr>
        <w:t>;</w:t>
      </w:r>
      <w:proofErr w:type="gramEnd"/>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dx</w:t>
      </w:r>
      <w:proofErr w:type="spellEnd"/>
      <w:r w:rsidRPr="00BB228A">
        <w:rPr>
          <w:rFonts w:ascii="Courier" w:eastAsia="Batang" w:hAnsi="Courier"/>
          <w:sz w:val="20"/>
          <w:szCs w:val="22"/>
          <w:lang w:eastAsia="ja-JP"/>
        </w:rPr>
        <w:t>;</w:t>
      </w:r>
      <w:proofErr w:type="gramEnd"/>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dy</w:t>
      </w:r>
      <w:proofErr w:type="spellEnd"/>
      <w:r w:rsidRPr="00BB228A">
        <w:rPr>
          <w:rFonts w:ascii="Courier" w:eastAsia="Batang" w:hAnsi="Courier"/>
          <w:sz w:val="20"/>
          <w:szCs w:val="22"/>
          <w:lang w:eastAsia="ja-JP"/>
        </w:rPr>
        <w:t>;</w:t>
      </w:r>
      <w:proofErr w:type="gramEnd"/>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rsidR="00D41415">
        <w:fldChar w:fldCharType="begin"/>
      </w:r>
      <w:r w:rsidR="00D41415">
        <w:instrText xml:space="preserve"> SEQ Table \* ARABIC </w:instrText>
      </w:r>
      <w:r w:rsidR="00D41415">
        <w:fldChar w:fldCharType="separate"/>
      </w:r>
      <w:r>
        <w:rPr>
          <w:noProof/>
        </w:rPr>
        <w:t>1</w:t>
      </w:r>
      <w:r w:rsidR="00D41415">
        <w:rPr>
          <w:noProof/>
        </w:rP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lastRenderedPageBreak/>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r>
        <w:fldChar w:fldCharType="begin"/>
      </w:r>
      <w:r>
        <w:instrText xml:space="preserve"> SEQ Figure \* ARABIC </w:instrText>
      </w:r>
      <w:r>
        <w:fldChar w:fldCharType="separate"/>
      </w:r>
      <w:r>
        <w:rPr>
          <w:noProof/>
        </w:rPr>
        <w:t>2</w:t>
      </w:r>
      <w:r>
        <w:fldChar w:fldCharType="end"/>
      </w:r>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V3C atlas tracks use </w:t>
      </w:r>
      <w:r w:rsidRPr="00045614">
        <w:rPr>
          <w:rFonts w:ascii="Times New Roman" w:eastAsia="MS Mincho" w:hAnsi="Times New Roman"/>
          <w:sz w:val="24"/>
          <w:lang w:val="en-CA"/>
        </w:rPr>
        <w:t xml:space="preserve">V3CAtlasSampleEntry </w:t>
      </w:r>
      <w:r w:rsidRPr="00045614">
        <w:rPr>
          <w:rFonts w:ascii="Times New Roman" w:eastAsia="MS Mincho" w:hAnsi="Times New Roman"/>
          <w:sz w:val="24"/>
          <w:lang w:val="en-CA"/>
        </w:rPr>
        <w:t>which extends</w:t>
      </w:r>
      <w:r w:rsidRPr="00045614">
        <w:rPr>
          <w:rFonts w:ascii="Times New Roman" w:eastAsia="MS Mincho" w:hAnsi="Times New Roman"/>
          <w:sz w:val="24"/>
          <w:lang w:val="en-CA"/>
        </w:rPr>
        <w:t xml:space="preserve">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t>
      </w:r>
      <w:r w:rsidRPr="00045614">
        <w:rPr>
          <w:rFonts w:ascii="Times New Roman" w:eastAsia="MS Mincho" w:hAnsi="Times New Roman"/>
          <w:sz w:val="24"/>
          <w:lang w:val="en-CA"/>
        </w:rPr>
        <w:t xml:space="preserve">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lastRenderedPageBreak/>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t>Proposal</w:t>
      </w:r>
      <w:r>
        <w:rPr>
          <w:lang w:val="en-CA"/>
        </w:rPr>
        <w:t xml:space="preserve">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so it could be added in the proper future output document.</w:t>
      </w:r>
      <w:r>
        <w:rPr>
          <w:lang w:val="en-CA"/>
        </w:rPr>
        <w:t xml:space="preserve">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63" w:name="_Ref471844714"/>
      <w:bookmarkStart w:id="164" w:name="_Ref471845736"/>
      <w:bookmarkStart w:id="165" w:name="_Ref471846742"/>
      <w:bookmarkStart w:id="166" w:name="_Ref471395332"/>
      <w:bookmarkStart w:id="167" w:name="_Ref471482420"/>
      <w:r>
        <w:rPr>
          <w:sz w:val="22"/>
        </w:rPr>
        <w:t>ISO/IEC 14496-12:2015 “Information technology – Coding of audio-visual objects – Part 12: ISO Base Media File Format”.</w:t>
      </w:r>
      <w:bookmarkEnd w:id="163"/>
    </w:p>
    <w:p w14:paraId="00E349A4" w14:textId="77777777" w:rsidR="001E096A" w:rsidRDefault="001E096A" w:rsidP="001E096A">
      <w:pPr>
        <w:pStyle w:val="BiblioReference"/>
        <w:ind w:left="624" w:hanging="454"/>
        <w:rPr>
          <w:sz w:val="22"/>
        </w:rPr>
      </w:pPr>
      <w:bookmarkStart w:id="168" w:name="_Ref471847865"/>
      <w:bookmarkStart w:id="169" w:name="_Ref534717579"/>
      <w:bookmarkEnd w:id="164"/>
      <w:r>
        <w:rPr>
          <w:sz w:val="22"/>
        </w:rPr>
        <w:t xml:space="preserve">N17990, “Technologies under Consideration for ISOBMFF”. </w:t>
      </w:r>
      <w:bookmarkEnd w:id="168"/>
      <w:r>
        <w:rPr>
          <w:sz w:val="22"/>
        </w:rPr>
        <w:t>October 2018, Macau, CN.</w:t>
      </w:r>
      <w:bookmarkEnd w:id="169"/>
    </w:p>
    <w:p w14:paraId="2A8CBB75" w14:textId="77777777" w:rsidR="001E096A" w:rsidRDefault="001E096A" w:rsidP="001E096A">
      <w:pPr>
        <w:pStyle w:val="BiblioReference"/>
        <w:ind w:left="624" w:hanging="454"/>
        <w:rPr>
          <w:sz w:val="22"/>
        </w:rPr>
      </w:pPr>
      <w:bookmarkStart w:id="170" w:name="_Ref534708236"/>
      <w:r>
        <w:rPr>
          <w:sz w:val="22"/>
        </w:rPr>
        <w:t>Marius Preda. “Point Cloud Compression in MPEG”. MP20 Workshop, Hong-Kong October 2017.</w:t>
      </w:r>
      <w:bookmarkEnd w:id="170"/>
      <w:r>
        <w:rPr>
          <w:sz w:val="22"/>
        </w:rPr>
        <w:t xml:space="preserve"> </w:t>
      </w:r>
    </w:p>
    <w:p w14:paraId="74005367" w14:textId="77777777" w:rsidR="001E096A" w:rsidRDefault="001E096A" w:rsidP="001E096A">
      <w:pPr>
        <w:pStyle w:val="BiblioReference"/>
        <w:ind w:left="624" w:hanging="454"/>
        <w:rPr>
          <w:sz w:val="22"/>
        </w:rPr>
      </w:pPr>
      <w:bookmarkStart w:id="171" w:name="_Ref534708244"/>
      <w:r>
        <w:rPr>
          <w:sz w:val="22"/>
        </w:rPr>
        <w:t>N17675. “First idea on Systems technologies for Point Cloud Coding”. April 2018, San Diego, US.</w:t>
      </w:r>
      <w:bookmarkEnd w:id="171"/>
    </w:p>
    <w:p w14:paraId="4B8C8696" w14:textId="77777777" w:rsidR="001E096A" w:rsidRDefault="001E096A" w:rsidP="001E096A">
      <w:pPr>
        <w:pStyle w:val="BiblioReference"/>
        <w:ind w:left="624" w:hanging="454"/>
        <w:rPr>
          <w:sz w:val="22"/>
        </w:rPr>
      </w:pPr>
      <w:bookmarkStart w:id="172" w:name="_Ref534708250"/>
      <w:r>
        <w:rPr>
          <w:sz w:val="22"/>
        </w:rPr>
        <w:t>N17771. “PCC WD V-PCC (Video-based PCC)”. July 2018, Ljubljana, SI.</w:t>
      </w:r>
      <w:bookmarkEnd w:id="172"/>
    </w:p>
    <w:p w14:paraId="6913FF2F" w14:textId="77777777" w:rsidR="001E096A" w:rsidRDefault="001E096A" w:rsidP="001E096A">
      <w:pPr>
        <w:pStyle w:val="BiblioReference"/>
        <w:ind w:left="624" w:hanging="454"/>
        <w:rPr>
          <w:sz w:val="22"/>
        </w:rPr>
      </w:pPr>
      <w:bookmarkStart w:id="173" w:name="_Ref534708258"/>
      <w:r>
        <w:rPr>
          <w:sz w:val="22"/>
        </w:rPr>
        <w:t>N18059. “WD of Storage of V-PCC in ISOBMFF Files”. October 2018, Macau, CN.</w:t>
      </w:r>
      <w:bookmarkEnd w:id="173"/>
    </w:p>
    <w:p w14:paraId="3F318DFC" w14:textId="77777777" w:rsidR="001E096A" w:rsidRDefault="001E096A" w:rsidP="001E096A">
      <w:pPr>
        <w:pStyle w:val="BiblioReference"/>
        <w:ind w:left="624" w:hanging="454"/>
        <w:rPr>
          <w:sz w:val="22"/>
        </w:rPr>
      </w:pPr>
      <w:bookmarkStart w:id="174" w:name="_Ref534717419"/>
      <w:r>
        <w:rPr>
          <w:sz w:val="22"/>
        </w:rPr>
        <w:t>m45100. “On encapsulation of V-PCC bitstream in single ISOBMFF track”. October 2018, Macau, CN.</w:t>
      </w:r>
      <w:bookmarkEnd w:id="174"/>
    </w:p>
    <w:p w14:paraId="6B20C334" w14:textId="77777777" w:rsidR="001E096A" w:rsidRDefault="001E096A" w:rsidP="001E096A">
      <w:pPr>
        <w:pStyle w:val="BiblioReference"/>
        <w:ind w:left="624" w:hanging="454"/>
        <w:rPr>
          <w:sz w:val="22"/>
        </w:rPr>
      </w:pPr>
      <w:bookmarkStart w:id="175" w:name="_Ref534551618"/>
      <w:r>
        <w:rPr>
          <w:sz w:val="22"/>
        </w:rPr>
        <w:t>m44800. “Media Processing related Track Derivations in ISOBMFF”. October 2018, Macau, CN.</w:t>
      </w:r>
      <w:bookmarkEnd w:id="175"/>
    </w:p>
    <w:p w14:paraId="62ED86BE" w14:textId="77777777" w:rsidR="001E096A" w:rsidRDefault="001E096A" w:rsidP="001E096A">
      <w:pPr>
        <w:pStyle w:val="BiblioReference"/>
        <w:ind w:left="624" w:hanging="454"/>
        <w:rPr>
          <w:sz w:val="22"/>
        </w:rPr>
      </w:pPr>
      <w:bookmarkStart w:id="176" w:name="_Ref534727412"/>
      <w:r>
        <w:rPr>
          <w:sz w:val="22"/>
        </w:rPr>
        <w:t>N17984. “WD of Network based Media Processing”. October 2018, Macau, CN.</w:t>
      </w:r>
      <w:bookmarkEnd w:id="165"/>
      <w:bookmarkEnd w:id="17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77" w:name="_Ref534749572"/>
      <w:r>
        <w:rPr>
          <w:sz w:val="22"/>
        </w:rPr>
        <w:t>ISO/IEC 23001-10:2015 “Information technology – MPEG systems technologies — Part 10: Carriage of timed metadata metrics of media in ISO base media file format”.</w:t>
      </w:r>
      <w:bookmarkEnd w:id="166"/>
      <w:bookmarkEnd w:id="167"/>
      <w:bookmarkEnd w:id="17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78"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79" w:name="_Ref1580453"/>
      <w:bookmarkStart w:id="180" w:name="_Ref2196341"/>
      <w:bookmarkEnd w:id="178"/>
    </w:p>
    <w:p w14:paraId="35A711AA" w14:textId="77777777" w:rsidR="00792A37" w:rsidRDefault="00792A37" w:rsidP="00B17E64">
      <w:pPr>
        <w:pStyle w:val="BiblioReference"/>
        <w:ind w:left="624" w:hanging="454"/>
        <w:jc w:val="left"/>
      </w:pPr>
      <w:r>
        <w:t xml:space="preserve">N18266, “WD of ISO/IEC 23090-10 Carriage of PC Data”, MPEG 125, </w:t>
      </w:r>
      <w:bookmarkEnd w:id="179"/>
      <w:r>
        <w:t>January 2019</w:t>
      </w:r>
      <w:bookmarkStart w:id="181" w:name="_Ref3817419"/>
      <w:bookmarkEnd w:id="180"/>
    </w:p>
    <w:p w14:paraId="5DB50A2C" w14:textId="77777777" w:rsidR="00792A37" w:rsidRDefault="00792A37" w:rsidP="00B17E64">
      <w:pPr>
        <w:pStyle w:val="BiblioReference"/>
        <w:ind w:left="624" w:hanging="454"/>
        <w:jc w:val="left"/>
      </w:pPr>
      <w:bookmarkStart w:id="182" w:name="_Ref7085234"/>
      <w:r>
        <w:t>ISO/IEC 14496-12, “Coding of Audio-Visual Objects, Part 12: ISO Base Media File Format”, 2015</w:t>
      </w:r>
      <w:bookmarkStart w:id="183" w:name="_Ref3817565"/>
      <w:bookmarkEnd w:id="181"/>
      <w:bookmarkEnd w:id="182"/>
    </w:p>
    <w:p w14:paraId="328641BC" w14:textId="77777777" w:rsidR="00792A37" w:rsidRDefault="00792A37" w:rsidP="00B17E64">
      <w:pPr>
        <w:pStyle w:val="BiblioReference"/>
        <w:ind w:left="624" w:hanging="454"/>
        <w:jc w:val="left"/>
      </w:pPr>
      <w:r>
        <w:t>N18312, “Revised text of ISO/IEC FDIS 23009-1 3rd edition”, MPEG 125, January 2019</w:t>
      </w:r>
      <w:bookmarkStart w:id="184" w:name="_Ref3822617"/>
      <w:bookmarkEnd w:id="183"/>
    </w:p>
    <w:bookmarkEnd w:id="18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185" w:name="_Ref4150392"/>
      <w:r w:rsidRPr="00B536BF">
        <w:rPr>
          <w:lang w:val="fr-CA"/>
        </w:rPr>
        <w:t xml:space="preserve">N18188, “CE 2.19 on V-PCC </w:t>
      </w:r>
      <w:proofErr w:type="spellStart"/>
      <w:r w:rsidRPr="00B536BF">
        <w:rPr>
          <w:lang w:val="fr-CA"/>
        </w:rPr>
        <w:t>tiles</w:t>
      </w:r>
      <w:proofErr w:type="spellEnd"/>
      <w:r>
        <w:t>”, MPEG 125, January 2019</w:t>
      </w:r>
      <w:bookmarkEnd w:id="185"/>
    </w:p>
    <w:p w14:paraId="2E76BD05" w14:textId="77777777" w:rsidR="00F95A6E" w:rsidRDefault="00B036C1" w:rsidP="00224814">
      <w:pPr>
        <w:pStyle w:val="BiblioReference"/>
        <w:ind w:left="624" w:hanging="454"/>
        <w:jc w:val="left"/>
      </w:pPr>
      <w:bookmarkStart w:id="186" w:name="_Ref519785232"/>
      <w:r w:rsidRPr="003C71ED">
        <w:rPr>
          <w:rFonts w:eastAsia="Malgun Gothic"/>
          <w:lang w:eastAsia="ko-KR"/>
        </w:rPr>
        <w:lastRenderedPageBreak/>
        <w:t xml:space="preserve">N13753, “PCC Requirements”, </w:t>
      </w:r>
      <w:r>
        <w:t>MPEG 121, January 2018</w:t>
      </w:r>
      <w:bookmarkStart w:id="187" w:name="_Ref12991897"/>
      <w:bookmarkEnd w:id="186"/>
    </w:p>
    <w:p w14:paraId="61430425" w14:textId="77777777" w:rsidR="00F95A6E" w:rsidRDefault="00BF5EA5" w:rsidP="00224814">
      <w:pPr>
        <w:pStyle w:val="BiblioReference"/>
        <w:ind w:left="624" w:hanging="454"/>
        <w:jc w:val="left"/>
      </w:pPr>
      <w:r>
        <w:t>m49105, “On Carriage of V-PCC Layers in ISOBMFF”, MPEG 127, July 2019.</w:t>
      </w:r>
      <w:bookmarkStart w:id="188" w:name="_Ref13048352"/>
      <w:bookmarkEnd w:id="187"/>
    </w:p>
    <w:p w14:paraId="270B6AEA" w14:textId="77777777" w:rsidR="00F95A6E" w:rsidRDefault="00137D9E" w:rsidP="00224814">
      <w:pPr>
        <w:pStyle w:val="BiblioReference"/>
        <w:ind w:left="624" w:hanging="454"/>
        <w:jc w:val="left"/>
      </w:pPr>
      <w:r>
        <w:t>m47436, “[VPCC] DASH Signaling for V-PCC”, MPEG 126, March 2019</w:t>
      </w:r>
      <w:bookmarkStart w:id="189" w:name="_Ref13072028"/>
      <w:bookmarkEnd w:id="18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8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lvlOverride w:ilvl="0"/>
    <w:lvlOverride w:ilvl="1"/>
    <w:lvlOverride w:ilvl="2"/>
    <w:lvlOverride w:ilvl="3"/>
    <w:lvlOverride w:ilvl="4"/>
    <w:lvlOverride w:ilvl="5"/>
    <w:lvlOverride w:ilvl="6"/>
    <w:lvlOverride w:ilvl="7"/>
    <w:lvlOverride w:ilv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108</Pages>
  <Words>32716</Words>
  <Characters>193027</Characters>
  <Application>Microsoft Office Word</Application>
  <DocSecurity>0</DocSecurity>
  <Lines>5515</Lines>
  <Paragraphs>3135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2</cp:revision>
  <dcterms:created xsi:type="dcterms:W3CDTF">2022-04-29T07:50:00Z</dcterms:created>
  <dcterms:modified xsi:type="dcterms:W3CDTF">2022-04-29T07:50:00Z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