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203710CD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 xml:space="preserve">Convenorship: </w:t>
                            </w:r>
                            <w:r w:rsidR="008E0F8B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Japan</w:t>
                            </w: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 xml:space="preserve"> (</w:t>
                            </w:r>
                            <w:r w:rsidR="008E0F8B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JISC</w:t>
                            </w: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203710CD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 xml:space="preserve">Convenorship: </w:t>
                      </w:r>
                      <w:r w:rsidR="008E0F8B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Japan</w:t>
                      </w: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 xml:space="preserve"> (</w:t>
                      </w:r>
                      <w:r w:rsidR="008E0F8B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JISC</w:t>
                      </w: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38974CB5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26561A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19</w:t>
                            </w:r>
                            <w:r w:rsidR="00334ED5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540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5E152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38974CB5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26561A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19</w:t>
                      </w:r>
                      <w:r w:rsidR="00334ED5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540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407B6DEB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  <w:bookmarkStart w:id="0" w:name="_Hlk38622580"/>
      <w:r>
        <w:rPr>
          <w:rFonts w:eastAsia="Times New Roman"/>
          <w:b/>
          <w:bCs/>
        </w:rPr>
        <w:t>Description of</w:t>
      </w:r>
      <w:r w:rsidR="007A5195">
        <w:rPr>
          <w:rFonts w:eastAsia="Times New Roman"/>
          <w:b/>
          <w:bCs/>
        </w:rPr>
        <w:t xml:space="preserve"> </w:t>
      </w:r>
      <w:r w:rsidR="007A5195" w:rsidRPr="007A5195">
        <w:rPr>
          <w:rFonts w:eastAsia="Times New Roman"/>
          <w:b/>
          <w:bCs/>
        </w:rPr>
        <w:t xml:space="preserve">Exploration Experiment </w:t>
      </w:r>
      <w:r w:rsidR="0051328A">
        <w:rPr>
          <w:rFonts w:eastAsia="Times New Roman"/>
          <w:b/>
          <w:bCs/>
        </w:rPr>
        <w:t>13.</w:t>
      </w:r>
      <w:r w:rsidR="009D48DD">
        <w:rPr>
          <w:rFonts w:eastAsia="Times New Roman"/>
          <w:b/>
          <w:bCs/>
        </w:rPr>
        <w:t>3</w:t>
      </w:r>
      <w:r w:rsidR="0051328A">
        <w:rPr>
          <w:rFonts w:eastAsia="Times New Roman"/>
          <w:b/>
          <w:bCs/>
        </w:rPr>
        <w:t>9</w:t>
      </w:r>
      <w:r>
        <w:rPr>
          <w:rFonts w:eastAsia="Times New Roman"/>
          <w:b/>
          <w:bCs/>
        </w:rPr>
        <w:t xml:space="preserve"> for G-PCC</w:t>
      </w:r>
      <w:r w:rsidR="007A5195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on </w:t>
      </w:r>
      <w:r w:rsidR="0051328A">
        <w:rPr>
          <w:rFonts w:eastAsia="Times New Roman"/>
          <w:b/>
          <w:bCs/>
        </w:rPr>
        <w:t>Bit count coding for predictive coding</w:t>
      </w:r>
      <w:bookmarkEnd w:id="0"/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6BD9A3B8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</w:t>
      </w:r>
      <w:r w:rsidR="0051328A">
        <w:rPr>
          <w:rFonts w:eastAsia="Times New Roman"/>
          <w:b/>
          <w:bCs/>
          <w:spacing w:val="-6"/>
          <w:w w:val="107"/>
        </w:rPr>
        <w:t>20</w:t>
      </w:r>
      <w:r>
        <w:rPr>
          <w:rFonts w:eastAsia="Times New Roman"/>
          <w:b/>
          <w:bCs/>
          <w:spacing w:val="-3"/>
          <w:w w:val="119"/>
        </w:rPr>
        <w:t>-</w:t>
      </w:r>
      <w:r w:rsidR="000050BD">
        <w:rPr>
          <w:rFonts w:eastAsia="Times New Roman"/>
          <w:b/>
          <w:bCs/>
          <w:spacing w:val="-3"/>
          <w:w w:val="119"/>
        </w:rPr>
        <w:t>0</w:t>
      </w:r>
      <w:r w:rsidR="008E0F8B">
        <w:rPr>
          <w:rFonts w:eastAsia="Times New Roman"/>
          <w:b/>
          <w:bCs/>
          <w:spacing w:val="-3"/>
          <w:w w:val="119"/>
        </w:rPr>
        <w:t>7</w:t>
      </w:r>
      <w:r w:rsidR="000050BD">
        <w:rPr>
          <w:rFonts w:eastAsia="Times New Roman"/>
          <w:b/>
          <w:bCs/>
          <w:spacing w:val="-3"/>
          <w:w w:val="119"/>
        </w:rPr>
        <w:t>-</w:t>
      </w:r>
      <w:r w:rsidR="008E0F8B">
        <w:rPr>
          <w:rFonts w:eastAsia="Times New Roman"/>
          <w:b/>
          <w:bCs/>
          <w:spacing w:val="-3"/>
          <w:w w:val="119"/>
        </w:rPr>
        <w:t>17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02BA62EF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 w:rsidR="00F41BDE">
        <w:rPr>
          <w:rFonts w:eastAsia="Times New Roman"/>
          <w:b/>
          <w:bCs/>
          <w:spacing w:val="5"/>
        </w:rPr>
        <w:t xml:space="preserve">acting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</w:t>
      </w:r>
      <w:r w:rsidR="00F41BDE">
        <w:rPr>
          <w:rFonts w:eastAsia="Times New Roman"/>
          <w:b/>
          <w:bCs/>
          <w:w w:val="85"/>
        </w:rPr>
        <w:tab/>
      </w:r>
      <w:r w:rsidR="00F41BDE" w:rsidRPr="00F4431D">
        <w:rPr>
          <w:rFonts w:eastAsia="Times New Roman"/>
          <w:b/>
          <w:bCs/>
        </w:rPr>
        <w:t>ostermann@tnt.uni-hannover.de</w:t>
      </w:r>
      <w:r w:rsidR="00F41BDE">
        <w:t xml:space="preserve"> </w:t>
      </w:r>
      <w:hyperlink r:id="rId13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510770FB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</w:t>
      </w:r>
      <w:r w:rsidR="008E0F8B">
        <w:rPr>
          <w:rFonts w:eastAsia="Times New Roman"/>
          <w:b/>
          <w:bCs/>
        </w:rPr>
        <w:tab/>
      </w:r>
      <w:r w:rsidR="008E0F8B">
        <w:rPr>
          <w:rFonts w:eastAsia="Times New Roman"/>
          <w:b/>
          <w:bCs/>
        </w:rPr>
        <w:tab/>
      </w:r>
      <w:r w:rsidR="008E0F8B" w:rsidRPr="008E0F8B">
        <w:rPr>
          <w:rFonts w:eastAsia="Times New Roman"/>
          <w:b/>
          <w:bCs/>
        </w:rPr>
        <w:t>http://isotc.iso.org/livelink/livelink/open/jtc1sc29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7FA67B18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747F76">
        <w:rPr>
          <w:rFonts w:eastAsia="SimSun"/>
          <w:b/>
          <w:sz w:val="48"/>
          <w:lang w:val="fr-FR" w:eastAsia="zh-CN"/>
        </w:rPr>
        <w:t>19</w:t>
      </w:r>
      <w:r w:rsidR="00334ED5">
        <w:rPr>
          <w:rFonts w:eastAsia="SimSun"/>
          <w:b/>
          <w:sz w:val="48"/>
          <w:lang w:val="fr-FR" w:eastAsia="zh-CN"/>
        </w:rPr>
        <w:t>540</w:t>
      </w:r>
    </w:p>
    <w:p w14:paraId="5A449647" w14:textId="2F7BAC14" w:rsidR="0071081E" w:rsidRPr="00CB6FF9" w:rsidRDefault="007A5195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OnLine</w:t>
      </w:r>
      <w:r w:rsidR="0071081E">
        <w:rPr>
          <w:rFonts w:eastAsia="SimSun"/>
          <w:b/>
          <w:sz w:val="28"/>
          <w:lang w:val="fr-FR" w:eastAsia="zh-CN"/>
        </w:rPr>
        <w:t xml:space="preserve"> – </w:t>
      </w:r>
      <w:r>
        <w:rPr>
          <w:rFonts w:eastAsia="SimSun"/>
          <w:b/>
          <w:sz w:val="28"/>
          <w:lang w:val="fr-FR" w:eastAsia="zh-CN"/>
        </w:rPr>
        <w:t>June</w:t>
      </w:r>
      <w:r w:rsidR="0071081E">
        <w:rPr>
          <w:rFonts w:eastAsia="SimSun"/>
          <w:b/>
          <w:sz w:val="28"/>
          <w:lang w:val="fr-FR" w:eastAsia="zh-CN"/>
        </w:rPr>
        <w:t xml:space="preserve"> 20</w:t>
      </w:r>
      <w:r w:rsidR="0051328A">
        <w:rPr>
          <w:rFonts w:eastAsia="SimSun"/>
          <w:b/>
          <w:sz w:val="28"/>
          <w:lang w:val="fr-FR" w:eastAsia="zh-CN"/>
        </w:rPr>
        <w:t>20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2B2801BE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262A85">
              <w:rPr>
                <w:b/>
                <w:sz w:val="28"/>
                <w:szCs w:val="28"/>
              </w:rPr>
              <w:t>Exploration</w:t>
            </w:r>
            <w:r w:rsidR="00262A85" w:rsidRPr="009D77D6">
              <w:rPr>
                <w:b/>
                <w:sz w:val="28"/>
                <w:szCs w:val="28"/>
              </w:rPr>
              <w:t xml:space="preserve"> Experiment</w:t>
            </w:r>
            <w:r w:rsidRPr="009D77D6">
              <w:rPr>
                <w:b/>
                <w:sz w:val="28"/>
                <w:szCs w:val="28"/>
              </w:rPr>
              <w:t xml:space="preserve"> </w:t>
            </w:r>
            <w:r w:rsidR="000050BD">
              <w:rPr>
                <w:b/>
                <w:sz w:val="28"/>
                <w:szCs w:val="28"/>
              </w:rPr>
              <w:t>13.</w:t>
            </w:r>
            <w:r w:rsidR="009D48DD">
              <w:rPr>
                <w:b/>
                <w:sz w:val="28"/>
                <w:szCs w:val="28"/>
              </w:rPr>
              <w:t>3</w:t>
            </w:r>
            <w:r w:rsidR="00954463">
              <w:rPr>
                <w:b/>
                <w:sz w:val="28"/>
                <w:szCs w:val="28"/>
              </w:rPr>
              <w:t>9</w:t>
            </w:r>
            <w:r w:rsidR="000050BD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for G-PCC: </w:t>
            </w:r>
            <w:r w:rsidRPr="00CF3608">
              <w:rPr>
                <w:b/>
                <w:sz w:val="28"/>
                <w:szCs w:val="28"/>
              </w:rPr>
              <w:t>on</w:t>
            </w:r>
            <w:r w:rsidR="000050BD">
              <w:rPr>
                <w:b/>
                <w:sz w:val="28"/>
                <w:szCs w:val="28"/>
              </w:rPr>
              <w:t xml:space="preserve"> </w:t>
            </w:r>
            <w:r w:rsidR="00954463">
              <w:rPr>
                <w:b/>
                <w:sz w:val="28"/>
                <w:szCs w:val="28"/>
              </w:rPr>
              <w:t>Bit count coding for predictive coding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2554E4CC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262A85" w:rsidRPr="00262A85">
        <w:rPr>
          <w:rFonts w:eastAsia="SimSun"/>
          <w:b/>
          <w:sz w:val="28"/>
          <w:lang w:eastAsia="zh-CN"/>
        </w:rPr>
        <w:t>Exploration Experimen</w:t>
      </w:r>
      <w:r w:rsidR="00262A85">
        <w:rPr>
          <w:rFonts w:eastAsia="SimSun"/>
          <w:b/>
          <w:sz w:val="28"/>
          <w:lang w:eastAsia="zh-CN"/>
        </w:rPr>
        <w:t xml:space="preserve">t </w:t>
      </w:r>
      <w:r w:rsidR="000050BD">
        <w:rPr>
          <w:rFonts w:eastAsia="SimSun"/>
          <w:b/>
          <w:sz w:val="28"/>
          <w:lang w:eastAsia="zh-CN"/>
        </w:rPr>
        <w:t>13.</w:t>
      </w:r>
      <w:r w:rsidR="009D48DD">
        <w:rPr>
          <w:rFonts w:eastAsia="SimSun"/>
          <w:b/>
          <w:sz w:val="28"/>
          <w:lang w:eastAsia="zh-CN"/>
        </w:rPr>
        <w:t>3</w:t>
      </w:r>
      <w:r w:rsidR="00954463">
        <w:rPr>
          <w:rFonts w:eastAsia="SimSun"/>
          <w:b/>
          <w:sz w:val="28"/>
          <w:lang w:eastAsia="zh-CN"/>
        </w:rPr>
        <w:t>9</w:t>
      </w:r>
      <w:r w:rsidR="000050BD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for G-PCC: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954463">
        <w:rPr>
          <w:rFonts w:eastAsia="SimSun"/>
          <w:b/>
          <w:sz w:val="28"/>
          <w:lang w:eastAsia="zh-CN"/>
        </w:rPr>
        <w:t>Bit count coding for predictive coding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709468CD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262A85" w:rsidRPr="00262A85">
        <w:rPr>
          <w:szCs w:val="22"/>
          <w:lang w:val="en-CA"/>
        </w:rPr>
        <w:t>Exploration</w:t>
      </w:r>
      <w:r w:rsidR="00954463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>Experiment (</w:t>
      </w:r>
      <w:r w:rsidR="004E2C3C">
        <w:rPr>
          <w:szCs w:val="22"/>
          <w:lang w:val="en-CA"/>
        </w:rPr>
        <w:t>E</w:t>
      </w:r>
      <w:r w:rsidR="000050BD">
        <w:rPr>
          <w:szCs w:val="22"/>
          <w:lang w:val="en-CA"/>
        </w:rPr>
        <w:t>E) 13.</w:t>
      </w:r>
      <w:r w:rsidR="009D48DD">
        <w:rPr>
          <w:szCs w:val="22"/>
          <w:lang w:val="en-CA"/>
        </w:rPr>
        <w:t>3</w:t>
      </w:r>
      <w:r w:rsidR="00954463">
        <w:rPr>
          <w:szCs w:val="22"/>
          <w:lang w:val="en-CA"/>
        </w:rPr>
        <w:t>9</w:t>
      </w:r>
      <w:r w:rsidR="0071081E" w:rsidRPr="0071081E">
        <w:rPr>
          <w:szCs w:val="22"/>
          <w:lang w:val="en-CA"/>
        </w:rPr>
        <w:t xml:space="preserve"> on </w:t>
      </w:r>
      <w:r w:rsidR="00954463">
        <w:rPr>
          <w:szCs w:val="22"/>
          <w:lang w:val="en-CA"/>
        </w:rPr>
        <w:t>Bit count coding for predictive coding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9372130" w14:textId="37488143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of </w:t>
      </w:r>
      <w:r w:rsidR="00F41BDE">
        <w:rPr>
          <w:szCs w:val="22"/>
          <w:lang w:val="en-CA"/>
        </w:rPr>
        <w:t>E</w:t>
      </w:r>
      <w:r w:rsidR="000050BD">
        <w:rPr>
          <w:szCs w:val="22"/>
          <w:lang w:val="en-CA"/>
        </w:rPr>
        <w:t>E1</w:t>
      </w:r>
      <w:r w:rsidR="00C4779F">
        <w:rPr>
          <w:szCs w:val="22"/>
          <w:lang w:val="en-CA"/>
        </w:rPr>
        <w:t>3</w:t>
      </w:r>
      <w:r w:rsidR="000050BD">
        <w:rPr>
          <w:szCs w:val="22"/>
          <w:lang w:val="en-CA"/>
        </w:rPr>
        <w:t>.</w:t>
      </w:r>
      <w:r w:rsidR="009D48DD">
        <w:rPr>
          <w:szCs w:val="22"/>
          <w:lang w:val="en-CA"/>
        </w:rPr>
        <w:t>3</w:t>
      </w:r>
      <w:r w:rsidR="00C4779F">
        <w:rPr>
          <w:szCs w:val="22"/>
          <w:lang w:val="en-CA"/>
        </w:rPr>
        <w:t>9</w:t>
      </w:r>
      <w:r w:rsidR="000050BD">
        <w:rPr>
          <w:szCs w:val="22"/>
          <w:lang w:val="en-CA"/>
        </w:rPr>
        <w:t xml:space="preserve"> </w:t>
      </w:r>
      <w:r w:rsidR="00771B59">
        <w:rPr>
          <w:szCs w:val="22"/>
          <w:lang w:val="en-CA"/>
        </w:rPr>
        <w:t xml:space="preserve">is to investigate </w:t>
      </w:r>
      <w:r w:rsidRPr="0071081E">
        <w:rPr>
          <w:szCs w:val="22"/>
          <w:lang w:val="en-CA"/>
        </w:rPr>
        <w:t xml:space="preserve">the </w:t>
      </w:r>
      <w:r w:rsidR="00C4779F">
        <w:rPr>
          <w:szCs w:val="22"/>
          <w:lang w:val="en-CA"/>
        </w:rPr>
        <w:t xml:space="preserve">bit count coding </w:t>
      </w:r>
      <w:r w:rsidR="00781C2C">
        <w:rPr>
          <w:szCs w:val="22"/>
          <w:lang w:val="en-CA"/>
        </w:rPr>
        <w:t xml:space="preserve">in </w:t>
      </w:r>
      <w:r w:rsidR="00EE3983" w:rsidRPr="00EE3983">
        <w:rPr>
          <w:szCs w:val="22"/>
          <w:lang w:val="en-CA"/>
        </w:rPr>
        <w:t>m53538[1]</w:t>
      </w:r>
      <w:r w:rsidR="00EE3983">
        <w:rPr>
          <w:szCs w:val="22"/>
          <w:lang w:val="en-CA"/>
        </w:rPr>
        <w:t xml:space="preserve"> </w:t>
      </w:r>
      <w:r w:rsidR="000D1E89">
        <w:rPr>
          <w:szCs w:val="22"/>
          <w:lang w:val="en-CA"/>
        </w:rPr>
        <w:t xml:space="preserve">on </w:t>
      </w:r>
      <w:r w:rsidR="00F442D7">
        <w:rPr>
          <w:szCs w:val="22"/>
          <w:lang w:val="en-CA"/>
        </w:rPr>
        <w:t xml:space="preserve">the </w:t>
      </w:r>
      <w:r w:rsidR="000D1E89" w:rsidRPr="000D1E89">
        <w:rPr>
          <w:szCs w:val="22"/>
          <w:lang w:val="en-CA"/>
        </w:rPr>
        <w:t>quantisation of prediction residuals</w:t>
      </w:r>
      <w:r w:rsidR="000D1E89">
        <w:rPr>
          <w:szCs w:val="22"/>
          <w:lang w:val="en-CA"/>
        </w:rPr>
        <w:t xml:space="preserve"> </w:t>
      </w:r>
      <w:r w:rsidR="00781C2C">
        <w:rPr>
          <w:szCs w:val="22"/>
          <w:lang w:val="en-CA"/>
        </w:rPr>
        <w:t xml:space="preserve">that was </w:t>
      </w:r>
      <w:r w:rsidR="000D1E89">
        <w:rPr>
          <w:szCs w:val="22"/>
          <w:lang w:val="en-CA"/>
        </w:rPr>
        <w:t>introduced in m54671</w:t>
      </w:r>
      <w:r w:rsidRPr="0071081E">
        <w:rPr>
          <w:szCs w:val="22"/>
          <w:lang w:val="en-CA"/>
        </w:rPr>
        <w:t>[</w:t>
      </w:r>
      <w:r w:rsidR="00781C2C">
        <w:rPr>
          <w:szCs w:val="22"/>
          <w:lang w:val="en-CA"/>
        </w:rPr>
        <w:t>2</w:t>
      </w:r>
      <w:r w:rsidRPr="0071081E">
        <w:rPr>
          <w:szCs w:val="22"/>
          <w:lang w:val="en-CA"/>
        </w:rPr>
        <w:t>] in terms of coding gain and complexity</w:t>
      </w:r>
      <w:r w:rsidR="00771B59">
        <w:rPr>
          <w:szCs w:val="22"/>
          <w:lang w:val="en-CA"/>
        </w:rPr>
        <w:t xml:space="preserve">. </w:t>
      </w:r>
    </w:p>
    <w:p w14:paraId="5312C3A6" w14:textId="1723F13C" w:rsidR="001332FA" w:rsidRDefault="001332FA" w:rsidP="0079500F">
      <w:pPr>
        <w:pStyle w:val="Heading1"/>
        <w:rPr>
          <w:rFonts w:cs="Calibri"/>
        </w:rPr>
      </w:pPr>
      <w:r>
        <w:t>Information about proposed tools</w:t>
      </w:r>
    </w:p>
    <w:p w14:paraId="70DEAE26" w14:textId="38B82BEC" w:rsidR="00B478BD" w:rsidRDefault="0008178A" w:rsidP="00B478BD">
      <w:pPr>
        <w:widowControl w:val="0"/>
        <w:spacing w:after="200" w:line="276" w:lineRule="auto"/>
        <w:rPr>
          <w:rFonts w:eastAsia="Calibri"/>
          <w:szCs w:val="22"/>
        </w:rPr>
      </w:pPr>
      <w:r>
        <w:rPr>
          <w:rFonts w:eastAsia="Calibri"/>
          <w:szCs w:val="22"/>
        </w:rPr>
        <w:t>In 1</w:t>
      </w:r>
      <w:r w:rsidR="00E94010">
        <w:rPr>
          <w:rFonts w:eastAsia="Calibri"/>
          <w:szCs w:val="22"/>
        </w:rPr>
        <w:t>31</w:t>
      </w:r>
      <w:r w:rsidRPr="0008178A">
        <w:rPr>
          <w:rFonts w:eastAsia="Calibri"/>
          <w:szCs w:val="22"/>
          <w:vertAlign w:val="superscript"/>
        </w:rPr>
        <w:t>th</w:t>
      </w:r>
      <w:r>
        <w:rPr>
          <w:rFonts w:eastAsia="Calibri"/>
          <w:szCs w:val="22"/>
        </w:rPr>
        <w:t xml:space="preserve"> MPEG </w:t>
      </w:r>
      <w:r w:rsidR="00781C2C">
        <w:rPr>
          <w:rFonts w:eastAsia="Calibri"/>
          <w:szCs w:val="22"/>
        </w:rPr>
        <w:t xml:space="preserve">online </w:t>
      </w:r>
      <w:r>
        <w:rPr>
          <w:rFonts w:eastAsia="Calibri"/>
          <w:szCs w:val="22"/>
        </w:rPr>
        <w:t xml:space="preserve">meeting, </w:t>
      </w:r>
      <w:r w:rsidR="00781C2C">
        <w:rPr>
          <w:rFonts w:eastAsia="Calibri"/>
          <w:szCs w:val="22"/>
        </w:rPr>
        <w:t>b</w:t>
      </w:r>
      <w:r w:rsidR="00781C2C" w:rsidRPr="00781C2C">
        <w:rPr>
          <w:rFonts w:eastAsia="Calibri"/>
          <w:szCs w:val="22"/>
        </w:rPr>
        <w:t xml:space="preserve">it count coding </w:t>
      </w:r>
      <w:r w:rsidR="005A43D1">
        <w:rPr>
          <w:rFonts w:eastAsia="Calibri"/>
          <w:szCs w:val="22"/>
        </w:rPr>
        <w:t xml:space="preserve">was proposed and adopted after </w:t>
      </w:r>
      <w:r w:rsidR="003A1F93">
        <w:rPr>
          <w:rFonts w:eastAsia="Calibri"/>
          <w:szCs w:val="22"/>
        </w:rPr>
        <w:t>applying recommendations</w:t>
      </w:r>
      <w:r w:rsidR="00B478BD" w:rsidRPr="00B478BD">
        <w:rPr>
          <w:rFonts w:eastAsia="Calibri"/>
          <w:szCs w:val="22"/>
        </w:rPr>
        <w:t xml:space="preserve"> in m54674</w:t>
      </w:r>
      <w:r w:rsidR="00781C2C">
        <w:rPr>
          <w:rFonts w:eastAsia="Calibri"/>
          <w:szCs w:val="22"/>
        </w:rPr>
        <w:t>[3]</w:t>
      </w:r>
      <w:r w:rsidR="00B478BD" w:rsidRPr="00B478BD">
        <w:rPr>
          <w:rFonts w:eastAsia="Calibri"/>
          <w:szCs w:val="22"/>
        </w:rPr>
        <w:t xml:space="preserve"> and harmonization of </w:t>
      </w:r>
      <w:r w:rsidR="004E2C3C" w:rsidRPr="004E2C3C">
        <w:rPr>
          <w:rFonts w:eastAsia="Calibri"/>
          <w:szCs w:val="22"/>
        </w:rPr>
        <w:t>m5</w:t>
      </w:r>
      <w:r w:rsidR="00E222A8">
        <w:rPr>
          <w:rFonts w:eastAsia="Calibri"/>
          <w:szCs w:val="22"/>
        </w:rPr>
        <w:t>3538</w:t>
      </w:r>
      <w:r w:rsidR="004E2C3C">
        <w:rPr>
          <w:rFonts w:eastAsia="Calibri"/>
          <w:szCs w:val="22"/>
        </w:rPr>
        <w:t xml:space="preserve"> </w:t>
      </w:r>
      <w:r w:rsidR="00B478BD" w:rsidRPr="00B478BD">
        <w:rPr>
          <w:rFonts w:eastAsia="Calibri"/>
          <w:szCs w:val="22"/>
        </w:rPr>
        <w:t xml:space="preserve">with </w:t>
      </w:r>
      <w:r w:rsidR="004E2C3C" w:rsidRPr="004E2C3C">
        <w:rPr>
          <w:rFonts w:eastAsia="Calibri"/>
          <w:szCs w:val="22"/>
        </w:rPr>
        <w:t>m5</w:t>
      </w:r>
      <w:r w:rsidR="00E222A8">
        <w:rPr>
          <w:rFonts w:eastAsia="Calibri"/>
          <w:szCs w:val="22"/>
        </w:rPr>
        <w:t xml:space="preserve">3618[4] </w:t>
      </w:r>
      <w:r w:rsidR="000A17B0">
        <w:rPr>
          <w:rFonts w:eastAsia="Calibri"/>
          <w:szCs w:val="22"/>
        </w:rPr>
        <w:t>where b</w:t>
      </w:r>
      <w:r w:rsidR="005A43D1">
        <w:rPr>
          <w:rFonts w:eastAsia="Calibri"/>
          <w:szCs w:val="22"/>
        </w:rPr>
        <w:t>it count coding was implemented for coding of residual values</w:t>
      </w:r>
      <w:r w:rsidR="00781C2C">
        <w:rPr>
          <w:rFonts w:eastAsia="Calibri"/>
          <w:szCs w:val="22"/>
        </w:rPr>
        <w:t xml:space="preserve"> </w:t>
      </w:r>
      <w:r w:rsidR="005A43D1">
        <w:rPr>
          <w:rFonts w:eastAsia="Calibri"/>
          <w:szCs w:val="22"/>
        </w:rPr>
        <w:t xml:space="preserve">for both predictive geometry and predictive geometry </w:t>
      </w:r>
      <w:r w:rsidR="00781C2C">
        <w:rPr>
          <w:rFonts w:eastAsia="Calibri"/>
          <w:szCs w:val="22"/>
        </w:rPr>
        <w:t xml:space="preserve">with </w:t>
      </w:r>
      <w:r w:rsidR="005A43D1">
        <w:rPr>
          <w:rFonts w:eastAsia="Calibri"/>
          <w:szCs w:val="22"/>
        </w:rPr>
        <w:t xml:space="preserve">angular </w:t>
      </w:r>
      <w:r w:rsidR="00781C2C">
        <w:rPr>
          <w:rFonts w:eastAsia="Calibri"/>
          <w:szCs w:val="22"/>
        </w:rPr>
        <w:t xml:space="preserve">coding </w:t>
      </w:r>
      <w:r w:rsidR="005A43D1">
        <w:rPr>
          <w:rFonts w:eastAsia="Calibri"/>
          <w:szCs w:val="22"/>
        </w:rPr>
        <w:t>mode</w:t>
      </w:r>
      <w:r w:rsidR="00871A99">
        <w:rPr>
          <w:rFonts w:eastAsia="Calibri"/>
          <w:szCs w:val="22"/>
        </w:rPr>
        <w:t xml:space="preserve"> </w:t>
      </w:r>
      <w:r w:rsidR="00B21F91">
        <w:rPr>
          <w:rFonts w:eastAsia="Calibri"/>
          <w:szCs w:val="22"/>
        </w:rPr>
        <w:t xml:space="preserve">on </w:t>
      </w:r>
      <w:r w:rsidR="00B21F91" w:rsidRPr="00B21F91">
        <w:rPr>
          <w:rFonts w:eastAsia="Calibri"/>
          <w:szCs w:val="22"/>
        </w:rPr>
        <w:t xml:space="preserve">a version of the predictive geometry coder </w:t>
      </w:r>
      <w:r w:rsidR="000A17B0">
        <w:rPr>
          <w:rFonts w:eastAsia="Calibri"/>
          <w:szCs w:val="22"/>
        </w:rPr>
        <w:t>software[4]</w:t>
      </w:r>
      <w:r w:rsidR="00B21F91" w:rsidRPr="00B21F91">
        <w:rPr>
          <w:rFonts w:eastAsia="Calibri"/>
          <w:szCs w:val="22"/>
        </w:rPr>
        <w:t>.</w:t>
      </w:r>
    </w:p>
    <w:p w14:paraId="008E9327" w14:textId="64A8952F" w:rsidR="00E94010" w:rsidRDefault="000D1E89" w:rsidP="000D1E89">
      <w:pPr>
        <w:widowControl w:val="0"/>
        <w:spacing w:after="200" w:line="276" w:lineRule="auto"/>
        <w:rPr>
          <w:rFonts w:eastAsia="Calibri"/>
          <w:szCs w:val="22"/>
        </w:rPr>
      </w:pPr>
      <w:r>
        <w:rPr>
          <w:rFonts w:eastAsia="Calibri"/>
          <w:szCs w:val="22"/>
        </w:rPr>
        <w:t xml:space="preserve">One of the changes </w:t>
      </w:r>
      <w:r w:rsidR="00B478BD">
        <w:rPr>
          <w:rFonts w:eastAsia="Calibri"/>
          <w:szCs w:val="22"/>
        </w:rPr>
        <w:t xml:space="preserve">introduced </w:t>
      </w:r>
      <w:r w:rsidR="005A43D1">
        <w:rPr>
          <w:rFonts w:eastAsia="Calibri"/>
          <w:szCs w:val="22"/>
        </w:rPr>
        <w:t xml:space="preserve">in this predictive geometry coder </w:t>
      </w:r>
      <w:r w:rsidR="000A17B0">
        <w:rPr>
          <w:rFonts w:eastAsia="Calibri"/>
          <w:szCs w:val="22"/>
        </w:rPr>
        <w:t>software</w:t>
      </w:r>
      <w:r w:rsidR="003C1DEC">
        <w:rPr>
          <w:rFonts w:eastAsia="Calibri"/>
          <w:szCs w:val="22"/>
        </w:rPr>
        <w:t xml:space="preserve"> </w:t>
      </w:r>
      <w:r w:rsidR="00B478BD">
        <w:rPr>
          <w:rFonts w:eastAsia="Calibri"/>
          <w:szCs w:val="22"/>
        </w:rPr>
        <w:t xml:space="preserve">was the </w:t>
      </w:r>
      <w:r w:rsidR="00F442D7" w:rsidRPr="000D1E89">
        <w:rPr>
          <w:rFonts w:eastAsia="Calibri"/>
          <w:szCs w:val="22"/>
        </w:rPr>
        <w:t>signaling</w:t>
      </w:r>
      <w:r w:rsidRPr="000D1E89">
        <w:rPr>
          <w:rFonts w:eastAsia="Calibri"/>
          <w:szCs w:val="22"/>
        </w:rPr>
        <w:t xml:space="preserve"> of qp offsets to enable quanti</w:t>
      </w:r>
      <w:r w:rsidR="00F442D7">
        <w:rPr>
          <w:rFonts w:eastAsia="Calibri"/>
          <w:szCs w:val="22"/>
        </w:rPr>
        <w:t>z</w:t>
      </w:r>
      <w:r w:rsidRPr="000D1E89">
        <w:rPr>
          <w:rFonts w:eastAsia="Calibri"/>
          <w:szCs w:val="22"/>
        </w:rPr>
        <w:t>ation of prediction residuals</w:t>
      </w:r>
      <w:r w:rsidR="005A43D1">
        <w:rPr>
          <w:rFonts w:eastAsia="Calibri"/>
          <w:szCs w:val="22"/>
        </w:rPr>
        <w:t xml:space="preserve">, to be </w:t>
      </w:r>
      <w:r w:rsidRPr="000D1E89">
        <w:rPr>
          <w:rFonts w:eastAsia="Calibri"/>
          <w:szCs w:val="22"/>
        </w:rPr>
        <w:t>used in conjunction</w:t>
      </w:r>
      <w:r w:rsidR="00B478BD">
        <w:rPr>
          <w:rFonts w:eastAsia="Calibri"/>
          <w:szCs w:val="22"/>
        </w:rPr>
        <w:t xml:space="preserve"> </w:t>
      </w:r>
      <w:r w:rsidRPr="000D1E89">
        <w:rPr>
          <w:rFonts w:eastAsia="Calibri"/>
          <w:szCs w:val="22"/>
        </w:rPr>
        <w:t>with source decimation to provide the lossy geometry codec configuration.</w:t>
      </w:r>
      <w:r w:rsidR="00F442D7">
        <w:rPr>
          <w:rFonts w:eastAsia="Calibri"/>
          <w:szCs w:val="22"/>
        </w:rPr>
        <w:t xml:space="preserve"> It </w:t>
      </w:r>
      <w:r w:rsidR="005349B6">
        <w:rPr>
          <w:rFonts w:eastAsia="Calibri"/>
          <w:szCs w:val="22"/>
        </w:rPr>
        <w:t>co</w:t>
      </w:r>
      <w:r w:rsidR="00F442D7">
        <w:rPr>
          <w:rFonts w:eastAsia="Calibri"/>
          <w:szCs w:val="22"/>
        </w:rPr>
        <w:t xml:space="preserve">uld be possible to make </w:t>
      </w:r>
      <w:r w:rsidR="005349B6">
        <w:rPr>
          <w:rFonts w:eastAsia="Calibri"/>
          <w:szCs w:val="22"/>
        </w:rPr>
        <w:t xml:space="preserve">further </w:t>
      </w:r>
      <w:r w:rsidR="00F442D7">
        <w:rPr>
          <w:rFonts w:eastAsia="Calibri"/>
          <w:szCs w:val="22"/>
        </w:rPr>
        <w:t xml:space="preserve">improvements by extending </w:t>
      </w:r>
      <w:r w:rsidR="005349B6">
        <w:rPr>
          <w:rFonts w:eastAsia="Calibri"/>
          <w:szCs w:val="22"/>
        </w:rPr>
        <w:t xml:space="preserve">bit count </w:t>
      </w:r>
      <w:r w:rsidR="00F442D7">
        <w:rPr>
          <w:rFonts w:eastAsia="Calibri"/>
          <w:szCs w:val="22"/>
        </w:rPr>
        <w:t>coding to take into consideration of quantization of prediction residuals.</w:t>
      </w:r>
    </w:p>
    <w:p w14:paraId="151014E7" w14:textId="6ACEA353" w:rsidR="00127CE6" w:rsidRDefault="00127CE6" w:rsidP="008B7DF8">
      <w:pPr>
        <w:pStyle w:val="Heading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360FC4CD" w14:textId="64E46DE8" w:rsidR="0079500F" w:rsidRPr="0079500F" w:rsidRDefault="00FB683D" w:rsidP="0079500F">
      <w:r>
        <w:t xml:space="preserve">In </w:t>
      </w:r>
      <w:r w:rsidR="001A1CFA">
        <w:t xml:space="preserve">this </w:t>
      </w:r>
      <w:r w:rsidR="00871A99">
        <w:t>E</w:t>
      </w:r>
      <w:r w:rsidR="000A3043">
        <w:t>E</w:t>
      </w:r>
      <w:r>
        <w:t xml:space="preserve">, </w:t>
      </w:r>
      <w:r w:rsidR="000050BD">
        <w:t xml:space="preserve">the </w:t>
      </w:r>
      <w:r w:rsidR="004E44FD">
        <w:rPr>
          <w:szCs w:val="22"/>
          <w:lang w:val="en-CA"/>
        </w:rPr>
        <w:t xml:space="preserve">proposed </w:t>
      </w:r>
      <w:r w:rsidR="00C4779F">
        <w:rPr>
          <w:szCs w:val="22"/>
          <w:lang w:val="en-CA"/>
        </w:rPr>
        <w:t xml:space="preserve">bit count coding for predictive </w:t>
      </w:r>
      <w:r w:rsidR="00391B2F">
        <w:rPr>
          <w:szCs w:val="22"/>
          <w:lang w:val="en-CA"/>
        </w:rPr>
        <w:t>coding</w:t>
      </w:r>
      <w:r w:rsidR="00ED540E">
        <w:rPr>
          <w:szCs w:val="22"/>
          <w:lang w:val="en-CA"/>
        </w:rPr>
        <w:t xml:space="preserve"> </w:t>
      </w:r>
      <w:r w:rsidR="00871A99">
        <w:rPr>
          <w:szCs w:val="22"/>
          <w:lang w:val="en-CA"/>
        </w:rPr>
        <w:t xml:space="preserve">with quantization of prediction residuals </w:t>
      </w:r>
      <w:r w:rsidR="00ED540E">
        <w:rPr>
          <w:szCs w:val="22"/>
          <w:lang w:val="en-CA"/>
        </w:rPr>
        <w:t xml:space="preserve">method </w:t>
      </w:r>
      <w:r w:rsidR="004E44FD">
        <w:rPr>
          <w:szCs w:val="22"/>
          <w:lang w:val="en-CA"/>
        </w:rPr>
        <w:t xml:space="preserve">will be investigated </w:t>
      </w:r>
      <w:r w:rsidR="00ED540E">
        <w:rPr>
          <w:szCs w:val="22"/>
          <w:lang w:val="en-CA"/>
        </w:rPr>
        <w:t>in terms of coding gain and complexity</w:t>
      </w:r>
      <w:r w:rsidR="00EF4183">
        <w:t>.</w:t>
      </w:r>
    </w:p>
    <w:p w14:paraId="74E35F88" w14:textId="77777777" w:rsidR="00F26F03" w:rsidRDefault="00F26F03" w:rsidP="008B7DF8">
      <w:pPr>
        <w:pStyle w:val="Heading2"/>
      </w:pPr>
      <w:r>
        <w:lastRenderedPageBreak/>
        <w:t>Mandates</w:t>
      </w:r>
    </w:p>
    <w:p w14:paraId="00A938C6" w14:textId="2076B9E4" w:rsidR="000751DA" w:rsidRPr="00F26F03" w:rsidRDefault="00257B4F" w:rsidP="006B0A09">
      <w:pPr>
        <w:pStyle w:val="ListParagraph1"/>
        <w:tabs>
          <w:tab w:val="left" w:pos="420"/>
        </w:tabs>
        <w:snapToGrid w:val="0"/>
        <w:spacing w:before="240" w:after="120"/>
        <w:ind w:left="0"/>
        <w:outlineLvl w:val="0"/>
      </w:pPr>
      <w:r>
        <w:rPr>
          <w:lang w:eastAsia="ja-JP"/>
        </w:rPr>
        <w:t>E</w:t>
      </w:r>
      <w:r>
        <w:rPr>
          <w:rFonts w:hint="eastAsia"/>
          <w:lang w:eastAsia="ja-JP"/>
        </w:rPr>
        <w:t xml:space="preserve">valuate </w:t>
      </w:r>
      <w:r w:rsidR="006B0A09" w:rsidRPr="006B0A09">
        <w:rPr>
          <w:lang w:eastAsia="ja-JP"/>
        </w:rPr>
        <w:t xml:space="preserve">Mandates for this </w:t>
      </w:r>
      <w:r w:rsidR="00871A99">
        <w:rPr>
          <w:lang w:eastAsia="ja-JP"/>
        </w:rPr>
        <w:t>E</w:t>
      </w:r>
      <w:r w:rsidR="006B0A09" w:rsidRPr="006B0A09">
        <w:rPr>
          <w:lang w:eastAsia="ja-JP"/>
        </w:rPr>
        <w:t>E13.</w:t>
      </w:r>
      <w:r w:rsidR="009D48DD">
        <w:rPr>
          <w:lang w:eastAsia="ja-JP"/>
        </w:rPr>
        <w:t>3</w:t>
      </w:r>
      <w:r w:rsidR="006B0A09">
        <w:rPr>
          <w:lang w:eastAsia="ja-JP"/>
        </w:rPr>
        <w:t>9</w:t>
      </w:r>
      <w:r w:rsidR="006B0A09" w:rsidRPr="006B0A09">
        <w:rPr>
          <w:lang w:eastAsia="ja-JP"/>
        </w:rPr>
        <w:t xml:space="preserve"> is to evaluate implementation </w:t>
      </w:r>
      <w:r w:rsidR="006B0A09">
        <w:rPr>
          <w:lang w:eastAsia="ja-JP"/>
        </w:rPr>
        <w:t xml:space="preserve">and performance </w:t>
      </w:r>
      <w:r w:rsidR="006B0A09" w:rsidRPr="006B0A09">
        <w:rPr>
          <w:lang w:eastAsia="ja-JP"/>
        </w:rPr>
        <w:t xml:space="preserve">of </w:t>
      </w:r>
      <w:r w:rsidR="00886EF4">
        <w:rPr>
          <w:lang w:eastAsia="ja-JP"/>
        </w:rPr>
        <w:t>Bit count coding for predictive coding</w:t>
      </w:r>
      <w:r w:rsidR="00871A99" w:rsidRPr="00871A99">
        <w:t xml:space="preserve"> </w:t>
      </w:r>
      <w:r w:rsidR="00871A99" w:rsidRPr="00871A99">
        <w:rPr>
          <w:lang w:eastAsia="ja-JP"/>
        </w:rPr>
        <w:t>with quantization of prediction</w:t>
      </w:r>
      <w:r w:rsidR="006B0A09" w:rsidRPr="006B0A09">
        <w:rPr>
          <w:lang w:eastAsia="ja-JP"/>
        </w:rPr>
        <w:t xml:space="preserve">. </w:t>
      </w:r>
    </w:p>
    <w:p w14:paraId="1CF73039" w14:textId="77777777" w:rsidR="0075679E" w:rsidRDefault="0075679E" w:rsidP="008B7DF8">
      <w:pPr>
        <w:pStyle w:val="Heading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21453875" w:rsidR="00257B4F" w:rsidRDefault="00C64B1A" w:rsidP="00257B4F">
            <w:pPr>
              <w:spacing w:after="0"/>
            </w:pPr>
            <w:r>
              <w:t>Loi Keng Liang</w:t>
            </w:r>
          </w:p>
        </w:tc>
        <w:tc>
          <w:tcPr>
            <w:tcW w:w="1889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525" w:type="dxa"/>
          </w:tcPr>
          <w:p w14:paraId="7F340DC0" w14:textId="1CB48B33" w:rsidR="00257B4F" w:rsidRDefault="00700F5D" w:rsidP="00257B4F">
            <w:pPr>
              <w:spacing w:after="0"/>
            </w:pPr>
            <w:hyperlink r:id="rId14" w:history="1">
              <w:r w:rsidR="00C64B1A" w:rsidRPr="00C64B1A">
                <w:rPr>
                  <w:rStyle w:val="Hyperlink"/>
                </w:rPr>
                <w:t>kengliang.loi@sg.panasonic.com</w:t>
              </w:r>
            </w:hyperlink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A076FE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37408940" w:rsidR="00A076FE" w:rsidRDefault="00A076FE" w:rsidP="00257B4F">
            <w:pPr>
              <w:spacing w:after="0"/>
            </w:pPr>
          </w:p>
        </w:tc>
        <w:tc>
          <w:tcPr>
            <w:tcW w:w="1889" w:type="dxa"/>
          </w:tcPr>
          <w:p w14:paraId="51A8FC3A" w14:textId="41DE327E" w:rsidR="00A076FE" w:rsidRDefault="00A076FE" w:rsidP="00257B4F">
            <w:pPr>
              <w:spacing w:after="0"/>
            </w:pPr>
          </w:p>
        </w:tc>
        <w:tc>
          <w:tcPr>
            <w:tcW w:w="3525" w:type="dxa"/>
          </w:tcPr>
          <w:p w14:paraId="5AE10C91" w14:textId="0443E83D" w:rsidR="00A076FE" w:rsidRPr="004E44FD" w:rsidRDefault="00A076FE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259" w:type="dxa"/>
          </w:tcPr>
          <w:p w14:paraId="06AC0C2B" w14:textId="3C31252E" w:rsidR="00A076FE" w:rsidRDefault="00A076FE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60843B96" w14:textId="77777777" w:rsidR="00A416DE" w:rsidRDefault="00A416DE" w:rsidP="008B7DF8">
      <w:pPr>
        <w:pStyle w:val="Heading2"/>
      </w:pPr>
      <w:r>
        <w:t>Information for conducting tests</w:t>
      </w:r>
    </w:p>
    <w:p w14:paraId="35E83342" w14:textId="1BCB1E68" w:rsidR="0073338A" w:rsidRDefault="001332FA" w:rsidP="0006554B">
      <w:r>
        <w:t>Proposed</w:t>
      </w:r>
      <w:r w:rsidR="00A416DE">
        <w:t xml:space="preserve"> method should be evaluated in both </w:t>
      </w:r>
      <w:r w:rsidR="00886EF4">
        <w:t xml:space="preserve">coding performance and </w:t>
      </w:r>
      <w:r w:rsidR="00A416DE">
        <w:t xml:space="preserve">compression efficiency </w:t>
      </w:r>
      <w:r w:rsidR="008D0F8F">
        <w:t>in TMC13v</w:t>
      </w:r>
      <w:r w:rsidR="00886EF4">
        <w:t>1</w:t>
      </w:r>
      <w:r w:rsidR="00871A99">
        <w:t>1</w:t>
      </w:r>
      <w:r w:rsidR="008D0F8F">
        <w:t xml:space="preserve"> </w:t>
      </w:r>
      <w:r w:rsidR="0073338A">
        <w:t xml:space="preserve">with </w:t>
      </w:r>
      <w:r w:rsidR="00A77D6F">
        <w:t xml:space="preserve">predictive geometry coding of </w:t>
      </w:r>
      <w:r w:rsidR="0073338A">
        <w:t>the CTC setting</w:t>
      </w:r>
      <w:r w:rsidR="008D0F8F">
        <w:t xml:space="preserve">. </w:t>
      </w:r>
    </w:p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49AE8A8B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D95398">
        <w:t>1</w:t>
      </w:r>
      <w:r w:rsidR="00871A99">
        <w:t>1</w:t>
      </w:r>
      <w:r w:rsidR="00F26F03">
        <w:t xml:space="preserve"> </w:t>
      </w:r>
      <w:r>
        <w:t>shall be used for th</w:t>
      </w:r>
      <w:r w:rsidR="00A77D6F">
        <w:t>is</w:t>
      </w:r>
      <w:r>
        <w:t xml:space="preserve"> experiment</w:t>
      </w:r>
      <w:r w:rsidRPr="005C5E43">
        <w:t>. The</w:t>
      </w:r>
      <w:r>
        <w:t xml:space="preserve"> proposed tool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D95398">
        <w:t>1</w:t>
      </w:r>
      <w:r w:rsidR="00871A99">
        <w:t>1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232A3880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D95398">
        <w:t>1</w:t>
      </w:r>
      <w:r w:rsidR="00871A99">
        <w:t>1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626AE713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</w:t>
      </w:r>
      <w:r w:rsidR="00400B93">
        <w:t>[4]</w:t>
      </w:r>
      <w:r w:rsidR="00A77D6F">
        <w:t xml:space="preserve"> with predictive geometry coding</w:t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4935DFDE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D95398">
        <w:t>2</w:t>
      </w:r>
      <w:r w:rsidR="001332FA">
        <w:tab/>
        <w:t>Lo</w:t>
      </w:r>
      <w:r>
        <w:t>ss</w:t>
      </w:r>
      <w:r w:rsidR="00D95398">
        <w:t>y</w:t>
      </w:r>
      <w:r>
        <w:t xml:space="preserve"> Geometry – Loss</w:t>
      </w:r>
      <w:r w:rsidR="00D95398">
        <w:t>y</w:t>
      </w:r>
      <w:r>
        <w:t xml:space="preserve"> Attributes</w:t>
      </w:r>
    </w:p>
    <w:p w14:paraId="29E9FDE5" w14:textId="77777777" w:rsidR="00D95398" w:rsidRPr="00D95398" w:rsidRDefault="00D95398" w:rsidP="00D95398">
      <w:pPr>
        <w:pStyle w:val="ListParagraph"/>
        <w:numPr>
          <w:ilvl w:val="0"/>
          <w:numId w:val="21"/>
        </w:numPr>
      </w:pPr>
      <w:r w:rsidRPr="00D95398">
        <w:t>CW</w:t>
      </w:r>
      <w:r w:rsidRPr="00D95398">
        <w:tab/>
        <w:t>Lossless Geometry – Lossless Attributes</w:t>
      </w:r>
    </w:p>
    <w:p w14:paraId="7B4FB674" w14:textId="53E5241A" w:rsidR="00515C3F" w:rsidRDefault="00400B93" w:rsidP="008B7DF8">
      <w:pPr>
        <w:pStyle w:val="Heading2"/>
        <w:rPr>
          <w:lang w:val="de-AT"/>
        </w:rPr>
      </w:pPr>
      <w:r>
        <w:rPr>
          <w:lang w:val="de-AT"/>
        </w:rPr>
        <w:t>E</w:t>
      </w:r>
      <w:r w:rsidR="00F17C12">
        <w:rPr>
          <w:lang w:val="de-AT"/>
        </w:rPr>
        <w:t>E13.</w:t>
      </w:r>
      <w:r w:rsidR="00667F47">
        <w:rPr>
          <w:lang w:val="de-AT"/>
        </w:rPr>
        <w:t xml:space="preserve">39 </w:t>
      </w:r>
      <w:r w:rsidR="00515C3F">
        <w:rPr>
          <w:lang w:val="de-AT"/>
        </w:rPr>
        <w:t>Coordinators</w:t>
      </w:r>
    </w:p>
    <w:p w14:paraId="604EB94C" w14:textId="3C530580" w:rsidR="000000FD" w:rsidRPr="000000FD" w:rsidRDefault="00747F76" w:rsidP="000000FD">
      <w:pPr>
        <w:rPr>
          <w:lang w:val="de-AT"/>
        </w:rPr>
      </w:pPr>
      <w:r>
        <w:t>Loi Keng Liang</w:t>
      </w:r>
      <w:r w:rsidR="000000FD">
        <w:t xml:space="preserve"> (</w:t>
      </w:r>
      <w:hyperlink r:id="rId15" w:history="1">
        <w:r w:rsidRPr="00747F76">
          <w:rPr>
            <w:rStyle w:val="Hyperlink"/>
          </w:rPr>
          <w:t>kengliang.loi</w:t>
        </w:r>
        <w:r w:rsidR="000000FD" w:rsidRPr="00747F76">
          <w:rPr>
            <w:rStyle w:val="Hyperlink"/>
          </w:rPr>
          <w:t>@</w:t>
        </w:r>
        <w:r w:rsidRPr="00747F76">
          <w:rPr>
            <w:rStyle w:val="Hyperlink"/>
          </w:rPr>
          <w:t>sg</w:t>
        </w:r>
        <w:r w:rsidR="000000FD" w:rsidRPr="00747F76">
          <w:rPr>
            <w:rStyle w:val="Hyperlink"/>
          </w:rPr>
          <w:t>.panasonic.com</w:t>
        </w:r>
      </w:hyperlink>
      <w:r w:rsidR="000000FD">
        <w:t>)</w:t>
      </w: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4532784E" w14:textId="14D49AF6" w:rsidR="004F77DD" w:rsidRPr="001155B0" w:rsidRDefault="009B2936" w:rsidP="004F77DD">
      <w:pPr>
        <w:pStyle w:val="ListParagraph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314D77" w:rsidRPr="001155B0">
        <w:rPr>
          <w:b/>
        </w:rPr>
        <w:t>-</w:t>
      </w:r>
      <w:r w:rsidR="00EA4CC6">
        <w:rPr>
          <w:b/>
        </w:rPr>
        <w:t>0</w:t>
      </w:r>
      <w:r w:rsidR="00FD19D3">
        <w:rPr>
          <w:b/>
        </w:rPr>
        <w:t>7</w:t>
      </w:r>
      <w:r w:rsidR="0080292A" w:rsidRPr="001155B0">
        <w:rPr>
          <w:b/>
        </w:rPr>
        <w:t>-</w:t>
      </w:r>
      <w:r w:rsidR="00A14F24">
        <w:rPr>
          <w:b/>
        </w:rPr>
        <w:t>31</w:t>
      </w:r>
      <w:bookmarkStart w:id="1" w:name="_GoBack"/>
      <w:bookmarkEnd w:id="1"/>
      <w:r w:rsidR="004F77DD" w:rsidRPr="001155B0">
        <w:t>: Expected date for release of cross-verified TMC13</w:t>
      </w:r>
      <w:r w:rsidR="00EA4CC6">
        <w:t>v1</w:t>
      </w:r>
      <w:r w:rsidR="004E2C3C">
        <w:t>1</w:t>
      </w:r>
      <w:r w:rsidR="004F77DD" w:rsidRPr="001155B0">
        <w:t xml:space="preserve"> software and anchors</w:t>
      </w:r>
    </w:p>
    <w:p w14:paraId="3C3E1CC8" w14:textId="381B38DD" w:rsidR="004F77DD" w:rsidRPr="001155B0" w:rsidRDefault="009B2936" w:rsidP="004F77DD">
      <w:pPr>
        <w:pStyle w:val="ListParagraph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80292A" w:rsidRPr="001155B0">
        <w:rPr>
          <w:b/>
        </w:rPr>
        <w:t>-</w:t>
      </w:r>
      <w:r w:rsidR="00EA4CC6">
        <w:rPr>
          <w:b/>
        </w:rPr>
        <w:t>0</w:t>
      </w:r>
      <w:r w:rsidR="00463947">
        <w:rPr>
          <w:b/>
        </w:rPr>
        <w:t>9</w:t>
      </w:r>
      <w:r w:rsidR="0080292A" w:rsidRPr="001155B0">
        <w:rPr>
          <w:b/>
        </w:rPr>
        <w:t>-</w:t>
      </w:r>
      <w:r w:rsidR="00463947">
        <w:rPr>
          <w:b/>
        </w:rPr>
        <w:t>04</w:t>
      </w:r>
      <w:r w:rsidR="00EB2B3E" w:rsidRPr="001155B0">
        <w:t xml:space="preserve">: </w:t>
      </w:r>
      <w:r w:rsidR="004F77DD" w:rsidRPr="001155B0">
        <w:t>Deliver source code and results for cross check</w:t>
      </w:r>
    </w:p>
    <w:p w14:paraId="35E2F355" w14:textId="5A346421" w:rsidR="004F77DD" w:rsidRPr="001155B0" w:rsidRDefault="009B2936" w:rsidP="004F77DD">
      <w:pPr>
        <w:pStyle w:val="ListParagraph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80292A" w:rsidRPr="001155B0">
        <w:rPr>
          <w:b/>
        </w:rPr>
        <w:t>-</w:t>
      </w:r>
      <w:r w:rsidR="00EA4CC6">
        <w:rPr>
          <w:b/>
        </w:rPr>
        <w:t>0</w:t>
      </w:r>
      <w:r w:rsidR="00112850">
        <w:rPr>
          <w:b/>
        </w:rPr>
        <w:t>9</w:t>
      </w:r>
      <w:r w:rsidR="0080292A" w:rsidRPr="001155B0">
        <w:rPr>
          <w:b/>
        </w:rPr>
        <w:t>-</w:t>
      </w:r>
      <w:r w:rsidR="00112850">
        <w:rPr>
          <w:b/>
        </w:rPr>
        <w:t>1</w:t>
      </w:r>
      <w:r w:rsidR="00463947">
        <w:rPr>
          <w:b/>
        </w:rPr>
        <w:t>8</w:t>
      </w:r>
      <w:r w:rsidR="004F77DD" w:rsidRPr="001155B0">
        <w:t xml:space="preserve">: </w:t>
      </w:r>
      <w:r w:rsidR="00BF483A" w:rsidRPr="001155B0">
        <w:t>Report of preliminary cross check results</w:t>
      </w:r>
    </w:p>
    <w:p w14:paraId="15B07370" w14:textId="6F18A317" w:rsidR="00D37F97" w:rsidRPr="00B3011C" w:rsidRDefault="009B2936" w:rsidP="00D37F97">
      <w:pPr>
        <w:pStyle w:val="ListParagraph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20</w:t>
      </w:r>
      <w:r w:rsidR="00C95CEF" w:rsidRPr="001155B0">
        <w:rPr>
          <w:b/>
        </w:rPr>
        <w:t>-</w:t>
      </w:r>
      <w:r w:rsidR="00781C2C">
        <w:rPr>
          <w:b/>
        </w:rPr>
        <w:t>10</w:t>
      </w:r>
      <w:r w:rsidR="00AA5902" w:rsidRPr="001155B0">
        <w:rPr>
          <w:b/>
        </w:rPr>
        <w:t>-</w:t>
      </w:r>
      <w:r w:rsidR="00781C2C">
        <w:rPr>
          <w:b/>
        </w:rPr>
        <w:t>07</w:t>
      </w:r>
      <w:r w:rsidR="004F77DD" w:rsidRPr="001155B0">
        <w:t>: MPEG document upload deadline</w:t>
      </w:r>
    </w:p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52757215" w14:textId="7C87B7AC" w:rsidR="001B65DF" w:rsidRPr="00A65634" w:rsidRDefault="0071081E" w:rsidP="004810CA">
      <w:pPr>
        <w:numPr>
          <w:ilvl w:val="0"/>
          <w:numId w:val="9"/>
        </w:numPr>
        <w:spacing w:after="0"/>
        <w:rPr>
          <w:szCs w:val="22"/>
          <w:lang w:val="en-CA" w:eastAsia="zh-TW"/>
        </w:rPr>
      </w:pPr>
      <w:bookmarkStart w:id="2" w:name="_Ref535519819"/>
      <w:bookmarkStart w:id="3" w:name="_Ref511145482"/>
      <w:r w:rsidRPr="001E5F9C">
        <w:t xml:space="preserve">[G-PCC] </w:t>
      </w:r>
      <w:r w:rsidR="00E222A8">
        <w:t xml:space="preserve">[New] </w:t>
      </w:r>
      <w:r w:rsidRPr="001E5F9C">
        <w:t>EE13.</w:t>
      </w:r>
      <w:r w:rsidR="00A45F74">
        <w:t>8</w:t>
      </w:r>
      <w:r w:rsidRPr="001E5F9C">
        <w:t xml:space="preserve"> related proposal on </w:t>
      </w:r>
      <w:r w:rsidR="00A45F74">
        <w:t>Predictive tree encoding modifications</w:t>
      </w:r>
      <w:r w:rsidRPr="009D77D6">
        <w:t>, IS</w:t>
      </w:r>
      <w:r>
        <w:t xml:space="preserve">O/IEC JTC1/SC29 WG11 Doc. </w:t>
      </w:r>
      <w:r w:rsidR="008E0D4E">
        <w:t>m</w:t>
      </w:r>
      <w:r w:rsidR="00A45F74">
        <w:t>53538</w:t>
      </w:r>
      <w:r w:rsidRPr="009D77D6">
        <w:t xml:space="preserve">, </w:t>
      </w:r>
      <w:r w:rsidR="00A45F74">
        <w:t>Alpbach</w:t>
      </w:r>
      <w:r w:rsidRPr="009D77D6">
        <w:t xml:space="preserve">, </w:t>
      </w:r>
      <w:r w:rsidR="00A45F74">
        <w:t>AT</w:t>
      </w:r>
      <w:r w:rsidRPr="009D77D6">
        <w:t xml:space="preserve">, </w:t>
      </w:r>
      <w:r w:rsidR="00A45F74">
        <w:t>April</w:t>
      </w:r>
      <w:r w:rsidRPr="009D77D6">
        <w:t xml:space="preserve"> 20</w:t>
      </w:r>
      <w:r w:rsidR="00A45F74">
        <w:t>20</w:t>
      </w:r>
      <w:r w:rsidRPr="009D77D6">
        <w:t>.</w:t>
      </w:r>
      <w:bookmarkEnd w:id="2"/>
    </w:p>
    <w:p w14:paraId="6660AE61" w14:textId="2A4D81D3" w:rsidR="00E222A8" w:rsidRPr="008E0D4E" w:rsidRDefault="008B1986" w:rsidP="007957FA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bookmarkStart w:id="4" w:name="_Ref511739200"/>
      <w:bookmarkEnd w:id="3"/>
      <w:r w:rsidRPr="008E0D4E">
        <w:rPr>
          <w:rFonts w:eastAsia="Gulim"/>
          <w:lang w:val="en-CA" w:eastAsia="ko-KR"/>
        </w:rPr>
        <w:t xml:space="preserve">CE13.38 report on angular coding for the predictive geometry coder, </w:t>
      </w:r>
      <w:r w:rsidR="00E222A8" w:rsidRPr="008E0D4E">
        <w:rPr>
          <w:rFonts w:eastAsia="Gulim"/>
          <w:lang w:val="en-CA" w:eastAsia="ko-KR"/>
        </w:rPr>
        <w:t>ISO/IEC JTC1/SC29/WG11, m5</w:t>
      </w:r>
      <w:r w:rsidRPr="008E0D4E">
        <w:rPr>
          <w:rFonts w:eastAsia="Gulim"/>
          <w:lang w:val="en-CA" w:eastAsia="ko-KR"/>
        </w:rPr>
        <w:t>4671</w:t>
      </w:r>
      <w:r w:rsidR="00E222A8" w:rsidRPr="008E0D4E">
        <w:rPr>
          <w:rFonts w:eastAsia="Gulim"/>
          <w:lang w:val="en-CA" w:eastAsia="ko-KR"/>
        </w:rPr>
        <w:t xml:space="preserve">, </w:t>
      </w:r>
      <w:r w:rsidRPr="008E0D4E">
        <w:rPr>
          <w:rFonts w:eastAsia="Gulim"/>
          <w:lang w:val="en-CA" w:eastAsia="ko-KR"/>
        </w:rPr>
        <w:t xml:space="preserve">Online, </w:t>
      </w:r>
      <w:r w:rsidR="00E222A8" w:rsidRPr="008E0D4E">
        <w:rPr>
          <w:rFonts w:eastAsia="Gulim"/>
          <w:lang w:val="en-CA" w:eastAsia="ko-KR"/>
        </w:rPr>
        <w:t>Apr. 2020.</w:t>
      </w:r>
    </w:p>
    <w:p w14:paraId="6A098F66" w14:textId="38317261" w:rsidR="003C1DEC" w:rsidRPr="008E0D4E" w:rsidRDefault="00E222A8" w:rsidP="00E222A8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r w:rsidRPr="008E0D4E">
        <w:rPr>
          <w:rFonts w:eastAsia="Gulim"/>
          <w:lang w:val="en-CA" w:eastAsia="ko-KR"/>
        </w:rPr>
        <w:t>CE13.39 review of predictive geometry residual magnitude coding</w:t>
      </w:r>
      <w:r w:rsidR="003C1DEC" w:rsidRPr="008E0D4E">
        <w:rPr>
          <w:rFonts w:eastAsia="Gulim"/>
          <w:lang w:val="en-CA" w:eastAsia="ko-KR"/>
        </w:rPr>
        <w:t xml:space="preserve">, ISO/IEC JTC1/SC29 WG11 Doc. </w:t>
      </w:r>
      <w:r w:rsidR="008E0D4E">
        <w:rPr>
          <w:rFonts w:eastAsia="Gulim"/>
          <w:lang w:val="en-CA" w:eastAsia="ko-KR"/>
        </w:rPr>
        <w:t>m</w:t>
      </w:r>
      <w:r w:rsidR="003C1DEC" w:rsidRPr="008E0D4E">
        <w:rPr>
          <w:rFonts w:eastAsia="Gulim"/>
          <w:lang w:val="en-CA" w:eastAsia="ko-KR"/>
        </w:rPr>
        <w:t>5</w:t>
      </w:r>
      <w:r w:rsidRPr="008E0D4E">
        <w:rPr>
          <w:rFonts w:eastAsia="Gulim"/>
          <w:lang w:val="en-CA" w:eastAsia="ko-KR"/>
        </w:rPr>
        <w:t>46</w:t>
      </w:r>
      <w:r w:rsidR="008B1986" w:rsidRPr="008E0D4E">
        <w:rPr>
          <w:rFonts w:eastAsia="Gulim"/>
          <w:lang w:val="en-CA" w:eastAsia="ko-KR"/>
        </w:rPr>
        <w:t>74</w:t>
      </w:r>
      <w:r w:rsidR="003C1DEC" w:rsidRPr="008E0D4E">
        <w:rPr>
          <w:rFonts w:eastAsia="Gulim"/>
          <w:lang w:val="en-CA" w:eastAsia="ko-KR"/>
        </w:rPr>
        <w:t xml:space="preserve">, </w:t>
      </w:r>
      <w:r w:rsidRPr="008E0D4E">
        <w:rPr>
          <w:rFonts w:eastAsia="Gulim"/>
          <w:lang w:val="en-CA" w:eastAsia="ko-KR"/>
        </w:rPr>
        <w:t>Online</w:t>
      </w:r>
      <w:r w:rsidR="003C1DEC" w:rsidRPr="008E0D4E">
        <w:rPr>
          <w:rFonts w:eastAsia="Gulim"/>
          <w:lang w:val="en-CA" w:eastAsia="ko-KR"/>
        </w:rPr>
        <w:t>, April 2020.</w:t>
      </w:r>
    </w:p>
    <w:p w14:paraId="3826E2B7" w14:textId="79DCFE10" w:rsidR="00E222A8" w:rsidRPr="008E0D4E" w:rsidRDefault="00E222A8" w:rsidP="00320856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r w:rsidRPr="008E0D4E">
        <w:rPr>
          <w:rFonts w:eastAsia="Gulim"/>
          <w:lang w:val="en-CA" w:eastAsia="ko-KR"/>
        </w:rPr>
        <w:lastRenderedPageBreak/>
        <w:t>[G-PCC][New proposal] Optimization of the predictive coding scheme for Spinning Lidars,  ISO/IEC JTC1/SC29/WG11, 130th meeting, Alpbach, Tech. Rep. m53618, Apr. 2020.</w:t>
      </w:r>
    </w:p>
    <w:p w14:paraId="18590D13" w14:textId="16BBBED8" w:rsidR="00D743CE" w:rsidRPr="00A91071" w:rsidRDefault="003B7A1E" w:rsidP="004810CA">
      <w:pPr>
        <w:pStyle w:val="ListParagraph"/>
        <w:numPr>
          <w:ilvl w:val="0"/>
          <w:numId w:val="9"/>
        </w:numPr>
        <w:rPr>
          <w:rFonts w:eastAsia="Malgun Gothic"/>
          <w:lang w:eastAsia="ko-KR"/>
        </w:rPr>
      </w:pPr>
      <w:r w:rsidRPr="008E0D4E">
        <w:rPr>
          <w:rFonts w:eastAsia="Malgun Gothic"/>
          <w:lang w:eastAsia="ko-KR"/>
        </w:rPr>
        <w:t>C</w:t>
      </w:r>
      <w:r w:rsidR="00D743CE" w:rsidRPr="008E0D4E">
        <w:rPr>
          <w:rFonts w:eastAsia="Malgun Gothic"/>
          <w:lang w:eastAsia="ko-KR"/>
        </w:rPr>
        <w:t>E13.</w:t>
      </w:r>
      <w:r w:rsidRPr="008E0D4E">
        <w:rPr>
          <w:rFonts w:eastAsia="Malgun Gothic"/>
          <w:lang w:eastAsia="ko-KR"/>
        </w:rPr>
        <w:t>3</w:t>
      </w:r>
      <w:r w:rsidR="00D743CE" w:rsidRPr="008E0D4E">
        <w:rPr>
          <w:rFonts w:eastAsia="Malgun Gothic"/>
          <w:lang w:eastAsia="ko-KR"/>
        </w:rPr>
        <w:t>8</w:t>
      </w:r>
      <w:r w:rsidRPr="008E0D4E">
        <w:rPr>
          <w:rFonts w:eastAsia="Malgun Gothic"/>
          <w:lang w:eastAsia="ko-KR"/>
        </w:rPr>
        <w:t xml:space="preserve"> </w:t>
      </w:r>
      <w:r w:rsidR="00D743CE" w:rsidRPr="008E0D4E">
        <w:rPr>
          <w:rFonts w:eastAsia="Malgun Gothic"/>
          <w:lang w:eastAsia="ko-KR"/>
        </w:rPr>
        <w:t>software</w:t>
      </w:r>
      <w:r w:rsidR="00A91071" w:rsidRPr="008E0D4E">
        <w:rPr>
          <w:rFonts w:eastAsia="Malgun Gothic"/>
          <w:lang w:eastAsia="ko-KR"/>
        </w:rPr>
        <w:t xml:space="preserve"> </w:t>
      </w:r>
      <w:hyperlink r:id="rId16" w:history="1">
        <w:r w:rsidRPr="003B7A1E">
          <w:rPr>
            <w:rStyle w:val="Hyperlink"/>
            <w:rFonts w:eastAsia="Malgun Gothic"/>
            <w:lang w:eastAsia="ko-KR"/>
          </w:rPr>
          <w:t>http://mpegx.int-evry.fr/software/MPEG/PCC/CE/mpeg-pcc-tmc13/tree/mpeg130/ce13.38/predgeom+angular</w:t>
        </w:r>
      </w:hyperlink>
    </w:p>
    <w:p w14:paraId="0D7A6E68" w14:textId="7031C5E7" w:rsidR="00AB3878" w:rsidRPr="001B65DF" w:rsidRDefault="00A53519" w:rsidP="004810CA">
      <w:pPr>
        <w:pStyle w:val="ListParagraph"/>
        <w:numPr>
          <w:ilvl w:val="0"/>
          <w:numId w:val="9"/>
        </w:numPr>
        <w:rPr>
          <w:lang w:eastAsia="ko-KR"/>
        </w:rPr>
      </w:pPr>
      <w:r w:rsidRPr="00A53519">
        <w:rPr>
          <w:lang w:eastAsia="ko-KR"/>
        </w:rPr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Doc. </w:t>
      </w:r>
      <w:r w:rsidR="001155B0" w:rsidRPr="001155B0">
        <w:rPr>
          <w:rFonts w:eastAsia="Malgun Gothic"/>
          <w:lang w:eastAsia="ko-KR"/>
        </w:rPr>
        <w:t>N18665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4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FB2E1" w14:textId="77777777" w:rsidR="00700F5D" w:rsidRDefault="00700F5D" w:rsidP="00437281">
      <w:pPr>
        <w:spacing w:after="0" w:line="240" w:lineRule="auto"/>
      </w:pPr>
      <w:r>
        <w:separator/>
      </w:r>
    </w:p>
  </w:endnote>
  <w:endnote w:type="continuationSeparator" w:id="0">
    <w:p w14:paraId="396825D9" w14:textId="77777777" w:rsidR="00700F5D" w:rsidRDefault="00700F5D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MS Mincho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CC171" w14:textId="77777777" w:rsidR="00700F5D" w:rsidRDefault="00700F5D" w:rsidP="00437281">
      <w:pPr>
        <w:spacing w:after="0" w:line="240" w:lineRule="auto"/>
      </w:pPr>
      <w:r>
        <w:separator/>
      </w:r>
    </w:p>
  </w:footnote>
  <w:footnote w:type="continuationSeparator" w:id="0">
    <w:p w14:paraId="521B8476" w14:textId="77777777" w:rsidR="00700F5D" w:rsidRDefault="00700F5D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50BD"/>
    <w:rsid w:val="00006052"/>
    <w:rsid w:val="0001760D"/>
    <w:rsid w:val="0002074B"/>
    <w:rsid w:val="00020877"/>
    <w:rsid w:val="00021B53"/>
    <w:rsid w:val="0002562C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17B0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1E89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2850"/>
    <w:rsid w:val="00114391"/>
    <w:rsid w:val="001155B0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47350"/>
    <w:rsid w:val="00247CB8"/>
    <w:rsid w:val="00251A51"/>
    <w:rsid w:val="00251B8E"/>
    <w:rsid w:val="00257B4F"/>
    <w:rsid w:val="00262A85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4ED5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0953"/>
    <w:rsid w:val="003A1F93"/>
    <w:rsid w:val="003A2023"/>
    <w:rsid w:val="003A66EB"/>
    <w:rsid w:val="003B6A84"/>
    <w:rsid w:val="003B7A1E"/>
    <w:rsid w:val="003C08E1"/>
    <w:rsid w:val="003C1DEC"/>
    <w:rsid w:val="003C282E"/>
    <w:rsid w:val="003C4A4F"/>
    <w:rsid w:val="003D27AE"/>
    <w:rsid w:val="003E1DC8"/>
    <w:rsid w:val="003E681C"/>
    <w:rsid w:val="003F1634"/>
    <w:rsid w:val="003F482F"/>
    <w:rsid w:val="00400B93"/>
    <w:rsid w:val="004148A5"/>
    <w:rsid w:val="00421237"/>
    <w:rsid w:val="004338DB"/>
    <w:rsid w:val="00437281"/>
    <w:rsid w:val="00441511"/>
    <w:rsid w:val="0044172D"/>
    <w:rsid w:val="0044289E"/>
    <w:rsid w:val="00451127"/>
    <w:rsid w:val="004539A2"/>
    <w:rsid w:val="00463947"/>
    <w:rsid w:val="004675AC"/>
    <w:rsid w:val="0047017A"/>
    <w:rsid w:val="004741F7"/>
    <w:rsid w:val="004763A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2C3C"/>
    <w:rsid w:val="004E44FD"/>
    <w:rsid w:val="004F444B"/>
    <w:rsid w:val="004F5222"/>
    <w:rsid w:val="004F77DD"/>
    <w:rsid w:val="00503A2A"/>
    <w:rsid w:val="00505688"/>
    <w:rsid w:val="005056CF"/>
    <w:rsid w:val="0051328A"/>
    <w:rsid w:val="00515C3F"/>
    <w:rsid w:val="0051764C"/>
    <w:rsid w:val="005200D0"/>
    <w:rsid w:val="00520500"/>
    <w:rsid w:val="00522DAE"/>
    <w:rsid w:val="005240FA"/>
    <w:rsid w:val="00531F95"/>
    <w:rsid w:val="005349B6"/>
    <w:rsid w:val="0053544D"/>
    <w:rsid w:val="00536EC5"/>
    <w:rsid w:val="00543DF5"/>
    <w:rsid w:val="005444B9"/>
    <w:rsid w:val="00557EA4"/>
    <w:rsid w:val="0059033B"/>
    <w:rsid w:val="00597653"/>
    <w:rsid w:val="005A43D1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7A9B"/>
    <w:rsid w:val="006F5F4D"/>
    <w:rsid w:val="00700F5D"/>
    <w:rsid w:val="007063C8"/>
    <w:rsid w:val="00706FFA"/>
    <w:rsid w:val="0071081E"/>
    <w:rsid w:val="007128C9"/>
    <w:rsid w:val="00715400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679E"/>
    <w:rsid w:val="00762737"/>
    <w:rsid w:val="007636E6"/>
    <w:rsid w:val="007702A2"/>
    <w:rsid w:val="00771B59"/>
    <w:rsid w:val="00771D96"/>
    <w:rsid w:val="00781C2C"/>
    <w:rsid w:val="00783B00"/>
    <w:rsid w:val="00790294"/>
    <w:rsid w:val="00791046"/>
    <w:rsid w:val="00793B76"/>
    <w:rsid w:val="0079500F"/>
    <w:rsid w:val="007A049F"/>
    <w:rsid w:val="007A5195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5E13"/>
    <w:rsid w:val="00816448"/>
    <w:rsid w:val="00817FC4"/>
    <w:rsid w:val="0082353B"/>
    <w:rsid w:val="008365D6"/>
    <w:rsid w:val="008422DB"/>
    <w:rsid w:val="00846D9B"/>
    <w:rsid w:val="0086055E"/>
    <w:rsid w:val="00871A99"/>
    <w:rsid w:val="008724C6"/>
    <w:rsid w:val="008728D6"/>
    <w:rsid w:val="00872BE9"/>
    <w:rsid w:val="00875CFD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B0676"/>
    <w:rsid w:val="008B198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D4E"/>
    <w:rsid w:val="008E0F8B"/>
    <w:rsid w:val="008E0FBA"/>
    <w:rsid w:val="008E3546"/>
    <w:rsid w:val="008E5BBC"/>
    <w:rsid w:val="008E6994"/>
    <w:rsid w:val="008E7101"/>
    <w:rsid w:val="008F01AF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54463"/>
    <w:rsid w:val="009622F9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076FE"/>
    <w:rsid w:val="00A12395"/>
    <w:rsid w:val="00A13CD8"/>
    <w:rsid w:val="00A14F24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A752D"/>
    <w:rsid w:val="00AB2758"/>
    <w:rsid w:val="00AB3878"/>
    <w:rsid w:val="00AC64CD"/>
    <w:rsid w:val="00AD367A"/>
    <w:rsid w:val="00AD548D"/>
    <w:rsid w:val="00AD6FF2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1F91"/>
    <w:rsid w:val="00B23498"/>
    <w:rsid w:val="00B3011C"/>
    <w:rsid w:val="00B3613F"/>
    <w:rsid w:val="00B403C1"/>
    <w:rsid w:val="00B42583"/>
    <w:rsid w:val="00B47631"/>
    <w:rsid w:val="00B478BD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5CC4"/>
    <w:rsid w:val="00BE6ED3"/>
    <w:rsid w:val="00BF3F37"/>
    <w:rsid w:val="00BF483A"/>
    <w:rsid w:val="00C012D1"/>
    <w:rsid w:val="00C10403"/>
    <w:rsid w:val="00C204E4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63F12"/>
    <w:rsid w:val="00C641E4"/>
    <w:rsid w:val="00C64B1A"/>
    <w:rsid w:val="00C80A07"/>
    <w:rsid w:val="00C92880"/>
    <w:rsid w:val="00C95CEF"/>
    <w:rsid w:val="00C95F33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22A8"/>
    <w:rsid w:val="00E30864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010"/>
    <w:rsid w:val="00E947BB"/>
    <w:rsid w:val="00E95106"/>
    <w:rsid w:val="00E95BB1"/>
    <w:rsid w:val="00E97460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E3983"/>
    <w:rsid w:val="00EF4183"/>
    <w:rsid w:val="00EF7478"/>
    <w:rsid w:val="00F01DF2"/>
    <w:rsid w:val="00F178D3"/>
    <w:rsid w:val="00F17C12"/>
    <w:rsid w:val="00F243A1"/>
    <w:rsid w:val="00F26C4F"/>
    <w:rsid w:val="00F26F03"/>
    <w:rsid w:val="00F3273A"/>
    <w:rsid w:val="00F41BDE"/>
    <w:rsid w:val="00F42FA9"/>
    <w:rsid w:val="00F442D7"/>
    <w:rsid w:val="00F44D21"/>
    <w:rsid w:val="00F472B0"/>
    <w:rsid w:val="00F52064"/>
    <w:rsid w:val="00F54DB8"/>
    <w:rsid w:val="00F6426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9D3"/>
    <w:rsid w:val="00FD1D98"/>
    <w:rsid w:val="00FD2EDD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4810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qianheng@sdis.cn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pegx.int-evry.fr/software/MPEG/PCC/CE/mpeg-pcc-tmc13/tree/mpeg130/ce13.38/predgeom+angular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kengliang.loi@sg.panasonic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file:///D:\Documents\01_&#26989;&#21209;\07_PCC\01_MPEG\01_document\2020_04_Alpbach\06_CEdescription\kengliang.loi@sg.panasoni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B6E8B8E-90C0-48E8-ADC4-767262A4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4</Pages>
  <Words>676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Keng Liang Loi</cp:lastModifiedBy>
  <cp:revision>33</cp:revision>
  <cp:lastPrinted>2016-10-10T12:44:00Z</cp:lastPrinted>
  <dcterms:created xsi:type="dcterms:W3CDTF">2020-05-05T14:28:00Z</dcterms:created>
  <dcterms:modified xsi:type="dcterms:W3CDTF">2020-07-27T02:10:00Z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