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38021A38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1436EF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9166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38021A38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1436EF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9166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60B19EDE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7E2002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 w:rsidR="001436EF">
        <w:rPr>
          <w:rFonts w:eastAsia="Times New Roman"/>
          <w:b/>
          <w:bCs/>
        </w:rPr>
        <w:t>5</w:t>
      </w:r>
      <w:r>
        <w:rPr>
          <w:rFonts w:eastAsia="Times New Roman"/>
          <w:b/>
          <w:bCs/>
        </w:rPr>
        <w:t xml:space="preserve"> for G-PCC on </w:t>
      </w:r>
      <w:r w:rsidR="001436EF">
        <w:rPr>
          <w:rFonts w:eastAsia="Times New Roman"/>
          <w:b/>
          <w:bCs/>
        </w:rPr>
        <w:t xml:space="preserve">Explicit Signaling of </w:t>
      </w:r>
      <w:proofErr w:type="spellStart"/>
      <w:r w:rsidR="001436EF">
        <w:rPr>
          <w:rFonts w:eastAsia="Times New Roman"/>
          <w:b/>
          <w:bCs/>
        </w:rPr>
        <w:t>OtQtBt</w:t>
      </w:r>
      <w:proofErr w:type="spellEnd"/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164FA4D1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1436EF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1436EF">
        <w:rPr>
          <w:rFonts w:eastAsia="Times New Roman"/>
          <w:b/>
          <w:bCs/>
          <w:spacing w:val="-3"/>
          <w:w w:val="119"/>
        </w:rPr>
        <w:t>02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1436EF">
        <w:rPr>
          <w:rFonts w:eastAsia="Times New Roman"/>
          <w:b/>
          <w:bCs/>
          <w:spacing w:val="-3"/>
          <w:w w:val="119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218B66EF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B1641C">
        <w:rPr>
          <w:rFonts w:eastAsia="SimSun"/>
          <w:b/>
          <w:sz w:val="48"/>
          <w:lang w:val="fr-FR" w:eastAsia="zh-CN"/>
        </w:rPr>
        <w:t>1</w:t>
      </w:r>
      <w:r w:rsidR="001436EF">
        <w:rPr>
          <w:rFonts w:eastAsia="SimSun"/>
          <w:b/>
          <w:sz w:val="48"/>
          <w:lang w:val="fr-FR" w:eastAsia="zh-CN"/>
        </w:rPr>
        <w:t>9166</w:t>
      </w:r>
    </w:p>
    <w:p w14:paraId="5A449647" w14:textId="7772E1E2" w:rsidR="0071081E" w:rsidRPr="00CB6FF9" w:rsidRDefault="001436EF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Bruss</w:t>
      </w:r>
      <w:r w:rsidR="0079431D">
        <w:rPr>
          <w:rFonts w:eastAsia="SimSun"/>
          <w:b/>
          <w:sz w:val="28"/>
          <w:lang w:val="fr-FR" w:eastAsia="zh-CN"/>
        </w:rPr>
        <w:t>e</w:t>
      </w:r>
      <w:r>
        <w:rPr>
          <w:rFonts w:eastAsia="SimSun"/>
          <w:b/>
          <w:sz w:val="28"/>
          <w:lang w:val="fr-FR" w:eastAsia="zh-CN"/>
        </w:rPr>
        <w:t>ls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BE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January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0583A7A6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7E2002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="001436EF">
              <w:rPr>
                <w:b/>
                <w:sz w:val="28"/>
                <w:szCs w:val="28"/>
              </w:rPr>
              <w:t>5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1436EF">
              <w:rPr>
                <w:b/>
                <w:sz w:val="28"/>
                <w:szCs w:val="28"/>
              </w:rPr>
              <w:t xml:space="preserve">Explicit Signaling of </w:t>
            </w:r>
            <w:proofErr w:type="spellStart"/>
            <w:r w:rsidR="001436EF">
              <w:rPr>
                <w:b/>
                <w:sz w:val="28"/>
                <w:szCs w:val="28"/>
              </w:rPr>
              <w:t>OtQtBt</w:t>
            </w:r>
            <w:proofErr w:type="spellEnd"/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D96B5F2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7E2002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7E2002">
        <w:rPr>
          <w:rFonts w:eastAsia="SimSun"/>
          <w:b/>
          <w:sz w:val="28"/>
          <w:lang w:eastAsia="zh-CN"/>
        </w:rPr>
        <w:t>3</w:t>
      </w:r>
      <w:r w:rsidR="001436EF">
        <w:rPr>
          <w:rFonts w:eastAsia="SimSun"/>
          <w:b/>
          <w:sz w:val="28"/>
          <w:lang w:eastAsia="zh-CN"/>
        </w:rPr>
        <w:t>5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1436EF">
        <w:rPr>
          <w:rFonts w:eastAsia="SimSun"/>
          <w:b/>
          <w:sz w:val="28"/>
          <w:lang w:eastAsia="zh-CN"/>
        </w:rPr>
        <w:t xml:space="preserve">Explicit Signaling of </w:t>
      </w:r>
      <w:proofErr w:type="spellStart"/>
      <w:r w:rsidR="001436EF">
        <w:rPr>
          <w:rFonts w:eastAsia="SimSun"/>
          <w:b/>
          <w:sz w:val="28"/>
          <w:lang w:eastAsia="zh-CN"/>
        </w:rPr>
        <w:t>OtQtBt</w:t>
      </w:r>
      <w:proofErr w:type="spellEnd"/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40BEF73E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7E2002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7E2002" w:rsidRPr="007E2002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7E2002">
        <w:rPr>
          <w:szCs w:val="22"/>
          <w:lang w:val="en-CA"/>
        </w:rPr>
        <w:t>3</w:t>
      </w:r>
      <w:r w:rsidR="001436EF">
        <w:rPr>
          <w:szCs w:val="22"/>
          <w:lang w:val="en-CA"/>
        </w:rPr>
        <w:t>5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1436EF">
        <w:rPr>
          <w:szCs w:val="22"/>
          <w:lang w:val="en-CA"/>
        </w:rPr>
        <w:t xml:space="preserve">Explicit Signaling of </w:t>
      </w:r>
      <w:proofErr w:type="spellStart"/>
      <w:r w:rsidR="001436EF">
        <w:rPr>
          <w:szCs w:val="22"/>
          <w:lang w:val="en-CA"/>
        </w:rPr>
        <w:t>OtQtBt</w:t>
      </w:r>
      <w:proofErr w:type="spellEnd"/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6A85F736" w14:textId="65CDAED3" w:rsidR="00287387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7E2002" w:rsidRPr="007E2002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7E2002" w:rsidRPr="00A90AB3">
        <w:rPr>
          <w:szCs w:val="22"/>
          <w:lang w:val="en-CA"/>
        </w:rPr>
        <w:t>3</w:t>
      </w:r>
      <w:r w:rsidR="001436EF">
        <w:rPr>
          <w:szCs w:val="22"/>
          <w:lang w:val="en-CA"/>
        </w:rPr>
        <w:t>5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>performance of the</w:t>
      </w:r>
      <w:r w:rsidR="00E35EFA">
        <w:rPr>
          <w:szCs w:val="22"/>
          <w:lang w:val="en-CA"/>
        </w:rPr>
        <w:t xml:space="preserve"> </w:t>
      </w:r>
      <w:r w:rsidR="001436EF">
        <w:rPr>
          <w:szCs w:val="22"/>
          <w:lang w:val="en-CA"/>
        </w:rPr>
        <w:t xml:space="preserve">explicit signaling of </w:t>
      </w:r>
      <w:proofErr w:type="spellStart"/>
      <w:r w:rsidR="001436EF">
        <w:rPr>
          <w:szCs w:val="22"/>
          <w:lang w:val="en-CA"/>
        </w:rPr>
        <w:t>OtQtBt</w:t>
      </w:r>
      <w:proofErr w:type="spellEnd"/>
      <w:r w:rsidR="001436EF">
        <w:rPr>
          <w:szCs w:val="22"/>
          <w:lang w:val="en-CA"/>
        </w:rPr>
        <w:t xml:space="preserve"> as</w:t>
      </w:r>
      <w:r w:rsidR="006F6CDE">
        <w:rPr>
          <w:szCs w:val="22"/>
          <w:lang w:val="en-CA"/>
        </w:rPr>
        <w:t xml:space="preserve"> proposed in m</w:t>
      </w:r>
      <w:r w:rsidR="00E35EFA">
        <w:rPr>
          <w:szCs w:val="22"/>
          <w:lang w:val="en-CA"/>
        </w:rPr>
        <w:t>5</w:t>
      </w:r>
      <w:r w:rsidR="001436EF">
        <w:rPr>
          <w:szCs w:val="22"/>
          <w:lang w:val="en-CA"/>
        </w:rPr>
        <w:t>2722</w:t>
      </w:r>
      <w:r w:rsidR="007E2002">
        <w:rPr>
          <w:szCs w:val="22"/>
          <w:lang w:val="en-CA"/>
        </w:rPr>
        <w:t xml:space="preserve"> [1]</w:t>
      </w:r>
      <w:r w:rsidR="005E2F57">
        <w:rPr>
          <w:szCs w:val="22"/>
          <w:lang w:val="en-CA"/>
        </w:rPr>
        <w:t>.</w:t>
      </w:r>
    </w:p>
    <w:p w14:paraId="1EB8D023" w14:textId="77777777" w:rsidR="0079431D" w:rsidRPr="005200D0" w:rsidRDefault="0079431D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2D10EC85" w:rsidR="00771B59" w:rsidRDefault="0071081E" w:rsidP="0071081E">
      <w:pPr>
        <w:pStyle w:val="Heading2"/>
      </w:pPr>
      <w:r w:rsidRPr="0071081E">
        <w:t>m</w:t>
      </w:r>
      <w:r w:rsidR="00E35EFA">
        <w:t>5</w:t>
      </w:r>
      <w:r w:rsidR="001436EF">
        <w:t>2722</w:t>
      </w:r>
      <w:r w:rsidRPr="0071081E">
        <w:t>:</w:t>
      </w:r>
      <w:r w:rsidR="007E2002">
        <w:t xml:space="preserve"> </w:t>
      </w:r>
      <w:r w:rsidR="001436EF" w:rsidRPr="001436EF">
        <w:t xml:space="preserve">On explicit </w:t>
      </w:r>
      <w:proofErr w:type="spellStart"/>
      <w:r w:rsidR="001436EF" w:rsidRPr="001436EF">
        <w:t>signalling</w:t>
      </w:r>
      <w:proofErr w:type="spellEnd"/>
      <w:r w:rsidR="001436EF" w:rsidRPr="001436EF">
        <w:t xml:space="preserve"> of </w:t>
      </w:r>
      <w:proofErr w:type="spellStart"/>
      <w:r w:rsidR="001436EF" w:rsidRPr="001436EF">
        <w:t>QtBt</w:t>
      </w:r>
      <w:proofErr w:type="spellEnd"/>
      <w:r w:rsidR="001436EF" w:rsidRPr="001436EF">
        <w:t xml:space="preserve"> </w:t>
      </w:r>
      <w:r w:rsidR="007E2002">
        <w:t>[1]</w:t>
      </w:r>
    </w:p>
    <w:p w14:paraId="41728594" w14:textId="33158F61" w:rsidR="001436EF" w:rsidRDefault="001436EF" w:rsidP="001436EF">
      <w:pPr>
        <w:spacing w:after="200" w:line="276" w:lineRule="auto"/>
        <w:rPr>
          <w:iCs/>
        </w:rPr>
      </w:pPr>
      <w:bookmarkStart w:id="0" w:name="_Hlk519098367"/>
      <w:r w:rsidRPr="003215F2">
        <w:rPr>
          <w:iCs/>
        </w:rPr>
        <w:t>In this</w:t>
      </w:r>
      <w:r>
        <w:rPr>
          <w:iCs/>
        </w:rPr>
        <w:t xml:space="preserve"> </w:t>
      </w:r>
      <w:r w:rsidRPr="003215F2">
        <w:rPr>
          <w:iCs/>
        </w:rPr>
        <w:t>contribution,</w:t>
      </w:r>
      <w:bookmarkEnd w:id="0"/>
      <w:r>
        <w:rPr>
          <w:iCs/>
        </w:rPr>
        <w:t xml:space="preserve"> two possible ways to change the current </w:t>
      </w:r>
      <w:proofErr w:type="spellStart"/>
      <w:r>
        <w:rPr>
          <w:iCs/>
        </w:rPr>
        <w:t>QtBt</w:t>
      </w:r>
      <w:proofErr w:type="spellEnd"/>
      <w:r>
        <w:rPr>
          <w:iCs/>
        </w:rPr>
        <w:t xml:space="preserve"> design are proposed. </w:t>
      </w:r>
      <w:r w:rsidRPr="006B1C95">
        <w:rPr>
          <w:iCs/>
        </w:rPr>
        <w:t xml:space="preserve">One is to simplify </w:t>
      </w:r>
      <w:r>
        <w:rPr>
          <w:iCs/>
        </w:rPr>
        <w:t>it</w:t>
      </w:r>
      <w:r w:rsidRPr="006B1C95">
        <w:rPr>
          <w:iCs/>
        </w:rPr>
        <w:t xml:space="preserve"> for typical use cases. The other is to </w:t>
      </w:r>
      <w:r>
        <w:rPr>
          <w:iCs/>
        </w:rPr>
        <w:t xml:space="preserve">extend the current design by </w:t>
      </w:r>
      <w:r w:rsidRPr="006B1C95">
        <w:rPr>
          <w:iCs/>
        </w:rPr>
        <w:t>allow</w:t>
      </w:r>
      <w:r>
        <w:rPr>
          <w:iCs/>
        </w:rPr>
        <w:t>ing</w:t>
      </w:r>
      <w:r w:rsidRPr="006B1C95">
        <w:rPr>
          <w:iCs/>
        </w:rPr>
        <w:t xml:space="preserve"> for more flexible ways of partitioning.  </w:t>
      </w:r>
      <w:r>
        <w:rPr>
          <w:iCs/>
        </w:rPr>
        <w:t xml:space="preserve">    </w:t>
      </w:r>
    </w:p>
    <w:p w14:paraId="5D2A4CB6" w14:textId="77777777" w:rsidR="0079431D" w:rsidRPr="00841E57" w:rsidRDefault="0079431D" w:rsidP="001436EF">
      <w:pPr>
        <w:spacing w:after="200" w:line="276" w:lineRule="auto"/>
        <w:rPr>
          <w:iCs/>
        </w:rPr>
      </w:pPr>
      <w:bookmarkStart w:id="1" w:name="_GoBack"/>
      <w:bookmarkEnd w:id="1"/>
    </w:p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08A5F895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7E2002" w:rsidRPr="00A90AB3">
        <w:t>E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1436EF">
        <w:rPr>
          <w:szCs w:val="22"/>
          <w:lang w:val="en-CA"/>
        </w:rPr>
        <w:t xml:space="preserve">explicit signaling </w:t>
      </w:r>
      <w:r w:rsidR="00147DF3" w:rsidRPr="00A90AB3">
        <w:rPr>
          <w:szCs w:val="22"/>
          <w:lang w:val="en-CA"/>
        </w:rPr>
        <w:t xml:space="preserve">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t>Mandates</w:t>
      </w:r>
    </w:p>
    <w:p w14:paraId="1FBC72F3" w14:textId="4F77B3B8" w:rsidR="003763DE" w:rsidRPr="00A90AB3" w:rsidRDefault="0014213F" w:rsidP="0014213F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</w:pPr>
      <w:r>
        <w:rPr>
          <w:lang w:eastAsia="ja-JP"/>
        </w:rPr>
        <w:t xml:space="preserve">1. </w:t>
      </w:r>
      <w:r w:rsidR="003B11EF">
        <w:rPr>
          <w:lang w:eastAsia="ja-JP"/>
        </w:rPr>
        <w:t>Investigate the interaction of the proposed scheme with newly adopted tools such as in-loop octree quantization.</w:t>
      </w:r>
    </w:p>
    <w:p w14:paraId="00A938C6" w14:textId="3C0B9674" w:rsidR="000751DA" w:rsidRDefault="0014213F" w:rsidP="0014213F">
      <w:pPr>
        <w:tabs>
          <w:tab w:val="left" w:pos="420"/>
        </w:tabs>
        <w:rPr>
          <w:lang w:eastAsia="ja-JP"/>
        </w:rPr>
      </w:pPr>
      <w:r>
        <w:rPr>
          <w:lang w:eastAsia="ja-JP"/>
        </w:rPr>
        <w:lastRenderedPageBreak/>
        <w:t xml:space="preserve">2. </w:t>
      </w:r>
      <w:r w:rsidR="003B11EF">
        <w:rPr>
          <w:lang w:eastAsia="ja-JP"/>
        </w:rPr>
        <w:t>Investigate encoding schemes that can leverage the degree of freedom the proposed scheme provides for improved coding performance</w:t>
      </w:r>
      <w:r w:rsidR="000D730F">
        <w:rPr>
          <w:lang w:eastAsia="ja-JP"/>
        </w:rPr>
        <w:t xml:space="preserve"> </w:t>
      </w: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0299CDDD" w:rsidR="00B14BE4" w:rsidRDefault="001436EF" w:rsidP="00B14BE4">
            <w:pPr>
              <w:spacing w:after="0"/>
            </w:pPr>
            <w:r>
              <w:t>David Flynn</w:t>
            </w:r>
          </w:p>
        </w:tc>
        <w:tc>
          <w:tcPr>
            <w:tcW w:w="1889" w:type="dxa"/>
          </w:tcPr>
          <w:p w14:paraId="51A8FC3A" w14:textId="657AA2FD" w:rsidR="00B14BE4" w:rsidRDefault="00B14BE4" w:rsidP="00B14BE4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6D86085B" w:rsidR="001436EF" w:rsidRPr="004E44FD" w:rsidRDefault="001436EF" w:rsidP="001436EF">
            <w:pPr>
              <w:spacing w:after="0"/>
              <w:rPr>
                <w:lang w:eastAsia="ja-JP"/>
              </w:rPr>
            </w:pPr>
            <w:hyperlink r:id="rId9" w:history="1">
              <w:r w:rsidRPr="00E851BE">
                <w:rPr>
                  <w:rStyle w:val="Hyperlink"/>
                  <w:lang w:eastAsia="ja-JP"/>
                </w:rPr>
                <w:t>davidflynn@apple.com</w:t>
              </w:r>
            </w:hyperlink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03C55531" w:rsidR="00B14BE4" w:rsidRDefault="001436EF" w:rsidP="00B14BE4">
            <w:pPr>
              <w:spacing w:after="0"/>
            </w:pPr>
            <w:r>
              <w:t xml:space="preserve"> </w:t>
            </w:r>
          </w:p>
        </w:tc>
        <w:tc>
          <w:tcPr>
            <w:tcW w:w="1889" w:type="dxa"/>
          </w:tcPr>
          <w:p w14:paraId="793BA8FF" w14:textId="7C86E7E4" w:rsidR="00B14BE4" w:rsidRDefault="001436EF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00CF35B4" w14:textId="7F26CA8B" w:rsidR="00B14BE4" w:rsidRPr="00257B4F" w:rsidRDefault="00B14BE4" w:rsidP="00B14BE4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49FB900E" w:rsidR="00B14BE4" w:rsidRPr="00D71326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B14BE4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B14BE4" w:rsidRPr="00AB3878" w:rsidRDefault="00B14BE4" w:rsidP="00B14BE4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B14BE4" w:rsidRPr="00AB3878" w:rsidRDefault="00B14BE4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B14BE4" w:rsidRDefault="00B14BE4" w:rsidP="00B14BE4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247DED6E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3B11EF">
        <w:t>9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3B11EF">
        <w:t>9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0244D56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3B11EF">
        <w:t>9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30D4EB72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47DF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3FDB3918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3B11EF">
        <w:t>2</w:t>
      </w:r>
      <w:r w:rsidR="0035746E">
        <w:t xml:space="preserve">   </w:t>
      </w:r>
      <w:r w:rsidR="001332FA">
        <w:t>Lo</w:t>
      </w:r>
      <w:r>
        <w:t>ss</w:t>
      </w:r>
      <w:r w:rsidR="003B11EF">
        <w:t>y</w:t>
      </w:r>
      <w:r>
        <w:t xml:space="preserve"> Geometry – Loss</w:t>
      </w:r>
      <w:r w:rsidR="00E35EFA">
        <w:t xml:space="preserve">y </w:t>
      </w:r>
      <w:r>
        <w:t>Attributes</w:t>
      </w:r>
    </w:p>
    <w:p w14:paraId="6FAE4529" w14:textId="3228AD47" w:rsidR="00DB27D8" w:rsidRDefault="00B424B3" w:rsidP="00427A14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W</w:t>
      </w:r>
      <w:r>
        <w:t xml:space="preserve"> Lossless Geometry – Los</w:t>
      </w:r>
      <w:r w:rsidR="00E35EFA">
        <w:t>sless</w:t>
      </w:r>
      <w:r>
        <w:t xml:space="preserve"> Attributes</w:t>
      </w:r>
    </w:p>
    <w:p w14:paraId="4EB112FD" w14:textId="77777777" w:rsidR="00844BD1" w:rsidRDefault="00844BD1" w:rsidP="00844BD1">
      <w:pPr>
        <w:pStyle w:val="ListParagraph"/>
        <w:spacing w:before="120"/>
        <w:ind w:left="360"/>
      </w:pPr>
    </w:p>
    <w:p w14:paraId="7B4FB674" w14:textId="3C59DD4B" w:rsidR="00515C3F" w:rsidRDefault="007E2002" w:rsidP="008B7DF8">
      <w:pPr>
        <w:pStyle w:val="Heading2"/>
        <w:rPr>
          <w:lang w:val="de-AT"/>
        </w:rPr>
      </w:pPr>
      <w:r w:rsidRPr="00A90AB3">
        <w:rPr>
          <w:lang w:val="de-AT"/>
        </w:rPr>
        <w:t>E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 w:rsidRPr="00A90AB3">
        <w:rPr>
          <w:lang w:val="de-AT"/>
        </w:rPr>
        <w:t>3</w:t>
      </w:r>
      <w:r w:rsidR="003B11EF">
        <w:rPr>
          <w:lang w:val="de-AT"/>
        </w:rPr>
        <w:t>5</w:t>
      </w:r>
      <w:r w:rsidR="00515C3F">
        <w:rPr>
          <w:lang w:val="de-AT"/>
        </w:rPr>
        <w:t xml:space="preserve"> Coordinators</w:t>
      </w:r>
    </w:p>
    <w:p w14:paraId="604EB94C" w14:textId="6B5AE651" w:rsidR="000000FD" w:rsidRDefault="00B424B3" w:rsidP="000000FD">
      <w:proofErr w:type="spellStart"/>
      <w:r>
        <w:t>Sehoon</w:t>
      </w:r>
      <w:proofErr w:type="spellEnd"/>
      <w:r>
        <w:t xml:space="preserve"> Yea</w:t>
      </w:r>
      <w:r w:rsidR="000000FD">
        <w:t xml:space="preserve"> (</w:t>
      </w:r>
      <w:hyperlink r:id="rId10" w:history="1"/>
      <w:hyperlink r:id="rId11" w:history="1">
        <w:r w:rsidR="0079431D" w:rsidRPr="00E851BE">
          <w:rPr>
            <w:rStyle w:val="Hyperlink"/>
          </w:rPr>
          <w:t>sehoonyea@tencent.com</w:t>
        </w:r>
      </w:hyperlink>
      <w:r w:rsidR="000000FD">
        <w:t>)</w:t>
      </w:r>
    </w:p>
    <w:p w14:paraId="3A02EE07" w14:textId="77777777" w:rsidR="0079431D" w:rsidRPr="000000FD" w:rsidRDefault="0079431D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0ACBAC58" w14:textId="77777777" w:rsidR="0079431D" w:rsidRPr="00D154F7" w:rsidRDefault="0079431D" w:rsidP="0079431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D154F7">
        <w:rPr>
          <w:b/>
          <w:lang w:val="en-GB"/>
        </w:rPr>
        <w:t>20</w:t>
      </w:r>
      <w:r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03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20</w:t>
      </w:r>
      <w:r w:rsidRPr="00D154F7">
        <w:rPr>
          <w:lang w:val="en-GB"/>
        </w:rPr>
        <w:t>: Deliver source code and results for cross check;</w:t>
      </w:r>
    </w:p>
    <w:p w14:paraId="429F5FAB" w14:textId="77777777" w:rsidR="0079431D" w:rsidRPr="00C355B9" w:rsidRDefault="0079431D" w:rsidP="0079431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04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03</w:t>
      </w:r>
      <w:r w:rsidRPr="00D154F7">
        <w:rPr>
          <w:lang w:val="en-GB"/>
        </w:rPr>
        <w:t>:</w:t>
      </w:r>
      <w:r w:rsidRPr="00C355B9">
        <w:rPr>
          <w:b/>
          <w:lang w:val="en-GB"/>
        </w:rPr>
        <w:t xml:space="preserve"> </w:t>
      </w:r>
      <w:r w:rsidRPr="00C355B9">
        <w:rPr>
          <w:lang w:val="en-GB"/>
        </w:rPr>
        <w:t>Report of preliminary cross check results;</w:t>
      </w:r>
    </w:p>
    <w:p w14:paraId="772609B2" w14:textId="19429C20" w:rsidR="0079431D" w:rsidRDefault="0079431D" w:rsidP="0079431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04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15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p w14:paraId="2B6C4447" w14:textId="77777777" w:rsidR="0079431D" w:rsidRPr="00C355B9" w:rsidRDefault="0079431D" w:rsidP="0079431D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</w:p>
    <w:bookmarkEnd w:id="2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4705BB9F" w14:textId="77777777" w:rsidR="001436EF" w:rsidRDefault="001436EF" w:rsidP="001436EF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3" w:name="_Ref9864475"/>
      <w:bookmarkStart w:id="4" w:name="_Ref511838956"/>
      <w:bookmarkStart w:id="5" w:name="_Ref511839159"/>
      <w:r w:rsidRPr="001436EF">
        <w:rPr>
          <w:rFonts w:eastAsia="Gulim"/>
          <w:lang w:val="en-CA" w:eastAsia="ko-KR"/>
        </w:rPr>
        <w:t xml:space="preserve">On explicit signalling of </w:t>
      </w:r>
      <w:proofErr w:type="spellStart"/>
      <w:r w:rsidRPr="001436EF">
        <w:rPr>
          <w:rFonts w:eastAsia="Gulim"/>
          <w:lang w:val="en-CA" w:eastAsia="ko-KR"/>
        </w:rPr>
        <w:t>QtBt</w:t>
      </w:r>
      <w:proofErr w:type="spellEnd"/>
      <w:r w:rsidR="007E2002" w:rsidRPr="00B424B3">
        <w:rPr>
          <w:rFonts w:eastAsia="Gulim"/>
          <w:lang w:val="en-CA" w:eastAsia="ko-KR"/>
        </w:rPr>
        <w:t>, ISO/IEC JTC1/SC29 WG11 m</w:t>
      </w:r>
      <w:r w:rsidR="00E35EFA">
        <w:rPr>
          <w:rFonts w:eastAsia="Gulim"/>
          <w:lang w:val="en-CA" w:eastAsia="ko-KR"/>
        </w:rPr>
        <w:t>5</w:t>
      </w:r>
      <w:r>
        <w:rPr>
          <w:rFonts w:eastAsia="Gulim"/>
          <w:lang w:val="en-CA" w:eastAsia="ko-KR"/>
        </w:rPr>
        <w:t>2722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Brussels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BE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January</w:t>
      </w:r>
      <w:r w:rsidR="007E2002" w:rsidRPr="00B424B3">
        <w:rPr>
          <w:rFonts w:eastAsia="Gulim"/>
          <w:lang w:val="en-CA" w:eastAsia="ko-KR"/>
        </w:rPr>
        <w:t xml:space="preserve"> 20</w:t>
      </w:r>
      <w:r>
        <w:rPr>
          <w:rFonts w:eastAsia="Gulim"/>
          <w:lang w:val="en-CA" w:eastAsia="ko-KR"/>
        </w:rPr>
        <w:t>20</w:t>
      </w:r>
      <w:bookmarkEnd w:id="3"/>
      <w:bookmarkEnd w:id="4"/>
      <w:bookmarkEnd w:id="5"/>
    </w:p>
    <w:p w14:paraId="3666D6CB" w14:textId="77777777" w:rsidR="001436EF" w:rsidRPr="001436EF" w:rsidRDefault="001436EF" w:rsidP="001436EF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r w:rsidRPr="001436EF">
        <w:rPr>
          <w:rFonts w:eastAsia="Malgun Gothic"/>
          <w:lang w:eastAsia="ko-KR"/>
        </w:rPr>
        <w:t>G-PCC Test Model v9, ISO/IEC JTC1/SC29/WG11 w19083, Brussels, BE, January 2020.</w:t>
      </w:r>
    </w:p>
    <w:p w14:paraId="0D7A6E68" w14:textId="549D6CE1" w:rsidR="00AB3878" w:rsidRPr="001436EF" w:rsidRDefault="001436EF" w:rsidP="001436EF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r w:rsidRPr="001436EF">
        <w:rPr>
          <w:rFonts w:eastAsia="Malgun Gothic"/>
          <w:lang w:eastAsia="ko-KR"/>
        </w:rPr>
        <w:t>Common Test Conditions for PCC, ISO/IEC JTC1/SC29 WG11 w19084, Brussels, BE, January 2020.</w:t>
      </w:r>
    </w:p>
    <w:sectPr w:rsidR="00AB3878" w:rsidRPr="001436E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730F"/>
    <w:rsid w:val="000E1BA5"/>
    <w:rsid w:val="000E4156"/>
    <w:rsid w:val="000F2EDC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36EF"/>
    <w:rsid w:val="00147DF3"/>
    <w:rsid w:val="00154F8D"/>
    <w:rsid w:val="00156DFB"/>
    <w:rsid w:val="00157832"/>
    <w:rsid w:val="00166AB5"/>
    <w:rsid w:val="001670D0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1B2F"/>
    <w:rsid w:val="00393B1F"/>
    <w:rsid w:val="0039562D"/>
    <w:rsid w:val="003A0364"/>
    <w:rsid w:val="003A2023"/>
    <w:rsid w:val="003A66EB"/>
    <w:rsid w:val="003B11EF"/>
    <w:rsid w:val="003B36A0"/>
    <w:rsid w:val="003B6A84"/>
    <w:rsid w:val="003B72F0"/>
    <w:rsid w:val="003C08E1"/>
    <w:rsid w:val="003C282E"/>
    <w:rsid w:val="003C4A4F"/>
    <w:rsid w:val="003D27AE"/>
    <w:rsid w:val="003E116F"/>
    <w:rsid w:val="003E1DC8"/>
    <w:rsid w:val="003E681C"/>
    <w:rsid w:val="003F1634"/>
    <w:rsid w:val="003F482F"/>
    <w:rsid w:val="004148A5"/>
    <w:rsid w:val="00417900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4BB"/>
    <w:rsid w:val="007702A2"/>
    <w:rsid w:val="00771B59"/>
    <w:rsid w:val="00771D96"/>
    <w:rsid w:val="00783B00"/>
    <w:rsid w:val="00790294"/>
    <w:rsid w:val="00791046"/>
    <w:rsid w:val="00793B76"/>
    <w:rsid w:val="0079431D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hoonyea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322B08-4C02-4472-ACDB-C23C203D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Sehon Yea</cp:lastModifiedBy>
  <cp:revision>24</cp:revision>
  <cp:lastPrinted>2016-10-10T12:44:00Z</cp:lastPrinted>
  <dcterms:created xsi:type="dcterms:W3CDTF">2019-10-11T09:04:00Z</dcterms:created>
  <dcterms:modified xsi:type="dcterms:W3CDTF">2020-02-11T17:49:00Z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