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229FD22D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0C7685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9165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229FD22D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0C7685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9165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3BFF32D1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0C7685">
        <w:rPr>
          <w:rFonts w:eastAsia="Times New Roman"/>
          <w:b/>
          <w:bCs/>
        </w:rPr>
        <w:t>Core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 w:rsidR="000C7685">
        <w:rPr>
          <w:rFonts w:eastAsia="Times New Roman"/>
          <w:b/>
          <w:bCs/>
        </w:rPr>
        <w:t>3</w:t>
      </w:r>
      <w:r>
        <w:rPr>
          <w:rFonts w:eastAsia="Times New Roman"/>
          <w:b/>
          <w:bCs/>
        </w:rPr>
        <w:t xml:space="preserve"> for G-PCC on </w:t>
      </w:r>
      <w:r w:rsidR="000C7685">
        <w:rPr>
          <w:rFonts w:eastAsia="Times New Roman"/>
          <w:b/>
          <w:bCs/>
        </w:rPr>
        <w:t>Coding of transform coefficients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6B64FBC5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0C7685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02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D8892DE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B1641C">
        <w:rPr>
          <w:rFonts w:eastAsia="SimSun"/>
          <w:b/>
          <w:sz w:val="48"/>
          <w:lang w:val="fr-FR" w:eastAsia="zh-CN"/>
        </w:rPr>
        <w:t>1</w:t>
      </w:r>
      <w:r w:rsidR="000C7685">
        <w:rPr>
          <w:rFonts w:eastAsia="SimSun"/>
          <w:b/>
          <w:sz w:val="48"/>
          <w:lang w:val="fr-FR" w:eastAsia="zh-CN"/>
        </w:rPr>
        <w:t>9165</w:t>
      </w:r>
    </w:p>
    <w:p w14:paraId="5A449647" w14:textId="4FD9413D" w:rsidR="0071081E" w:rsidRPr="00CB6FF9" w:rsidRDefault="000C7685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Brussels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BE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January</w:t>
      </w:r>
      <w:proofErr w:type="spellEnd"/>
      <w:r>
        <w:rPr>
          <w:rFonts w:eastAsia="SimSun"/>
          <w:b/>
          <w:sz w:val="28"/>
          <w:lang w:val="fr-FR" w:eastAsia="zh-CN"/>
        </w:rPr>
        <w:t xml:space="preserve"> </w:t>
      </w:r>
      <w:r w:rsidR="0071081E">
        <w:rPr>
          <w:rFonts w:eastAsia="SimSun"/>
          <w:b/>
          <w:sz w:val="28"/>
          <w:lang w:val="fr-FR" w:eastAsia="zh-CN"/>
        </w:rPr>
        <w:t>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4E6F4C7A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0C7685">
              <w:rPr>
                <w:b/>
                <w:sz w:val="28"/>
                <w:szCs w:val="28"/>
              </w:rPr>
              <w:t>Core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="000C7685">
              <w:rPr>
                <w:b/>
                <w:sz w:val="28"/>
                <w:szCs w:val="28"/>
              </w:rPr>
              <w:t>3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0C7685">
              <w:rPr>
                <w:b/>
                <w:sz w:val="28"/>
                <w:szCs w:val="28"/>
              </w:rPr>
              <w:t>Coding of transform coefficients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5DFA5229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0C7685">
        <w:rPr>
          <w:rFonts w:eastAsia="SimSun"/>
          <w:b/>
          <w:sz w:val="28"/>
          <w:lang w:eastAsia="zh-CN"/>
        </w:rPr>
        <w:t>Core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0C7685">
        <w:rPr>
          <w:rFonts w:eastAsia="SimSun"/>
          <w:b/>
          <w:sz w:val="28"/>
          <w:lang w:eastAsia="zh-CN"/>
        </w:rPr>
        <w:t>3</w:t>
      </w:r>
      <w:r w:rsidR="007E2002">
        <w:rPr>
          <w:rFonts w:eastAsia="SimSun"/>
          <w:b/>
          <w:sz w:val="28"/>
          <w:lang w:eastAsia="zh-CN"/>
        </w:rPr>
        <w:t>3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0C7685">
        <w:rPr>
          <w:rFonts w:eastAsia="SimSun"/>
          <w:b/>
          <w:sz w:val="28"/>
          <w:lang w:eastAsia="zh-CN"/>
        </w:rPr>
        <w:t>Coding of transform coefficients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0936CB8E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0C7685">
        <w:rPr>
          <w:szCs w:val="22"/>
          <w:lang w:val="en-CA"/>
        </w:rPr>
        <w:t>Core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157BDA">
        <w:rPr>
          <w:szCs w:val="22"/>
          <w:lang w:val="en-CA"/>
        </w:rPr>
        <w:t>C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0C7685">
        <w:rPr>
          <w:szCs w:val="22"/>
          <w:lang w:val="en-CA"/>
        </w:rPr>
        <w:t>3</w:t>
      </w:r>
      <w:r w:rsidR="007E2002">
        <w:rPr>
          <w:szCs w:val="22"/>
          <w:lang w:val="en-CA"/>
        </w:rPr>
        <w:t>3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0C7685">
        <w:rPr>
          <w:szCs w:val="22"/>
          <w:lang w:val="en-CA"/>
        </w:rPr>
        <w:t>Coding of transform coefficients</w:t>
      </w:r>
      <w:r>
        <w:rPr>
          <w:szCs w:val="22"/>
          <w:lang w:val="en-CA"/>
        </w:rPr>
        <w:t>.</w:t>
      </w:r>
      <w:bookmarkStart w:id="0" w:name="_GoBack"/>
      <w:bookmarkEnd w:id="0"/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06BC1F58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0C7685">
        <w:rPr>
          <w:szCs w:val="22"/>
          <w:lang w:val="en-CA"/>
        </w:rPr>
        <w:t>C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0C7685">
        <w:rPr>
          <w:szCs w:val="22"/>
          <w:lang w:val="en-CA"/>
        </w:rPr>
        <w:t>3</w:t>
      </w:r>
      <w:r w:rsidR="007E2002" w:rsidRPr="00A90AB3">
        <w:rPr>
          <w:szCs w:val="22"/>
          <w:lang w:val="en-CA"/>
        </w:rPr>
        <w:t>3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>performance of the</w:t>
      </w:r>
      <w:r w:rsidR="00E35EFA">
        <w:rPr>
          <w:szCs w:val="22"/>
          <w:lang w:val="en-CA"/>
        </w:rPr>
        <w:t xml:space="preserve"> </w:t>
      </w:r>
      <w:r w:rsidR="000C7685">
        <w:rPr>
          <w:szCs w:val="22"/>
          <w:lang w:val="en-CA"/>
        </w:rPr>
        <w:t>coding</w:t>
      </w:r>
      <w:r w:rsidR="00147DF3">
        <w:rPr>
          <w:szCs w:val="22"/>
          <w:lang w:val="en-CA"/>
        </w:rPr>
        <w:t xml:space="preserve"> scheme </w:t>
      </w:r>
      <w:r w:rsidR="000C7685">
        <w:rPr>
          <w:szCs w:val="22"/>
          <w:lang w:val="en-CA"/>
        </w:rPr>
        <w:t xml:space="preserve">for transform coefficients </w:t>
      </w:r>
      <w:r w:rsidR="006F6CDE">
        <w:rPr>
          <w:szCs w:val="22"/>
          <w:lang w:val="en-CA"/>
        </w:rPr>
        <w:t>as proposed in m</w:t>
      </w:r>
      <w:r w:rsidR="00E35EFA">
        <w:rPr>
          <w:szCs w:val="22"/>
          <w:lang w:val="en-CA"/>
        </w:rPr>
        <w:t>5</w:t>
      </w:r>
      <w:r w:rsidR="000C7685">
        <w:rPr>
          <w:szCs w:val="22"/>
          <w:lang w:val="en-CA"/>
        </w:rPr>
        <w:t>2720</w:t>
      </w:r>
      <w:r w:rsidR="007E2002">
        <w:rPr>
          <w:szCs w:val="22"/>
          <w:lang w:val="en-CA"/>
        </w:rPr>
        <w:t xml:space="preserve"> [1]</w:t>
      </w:r>
      <w:r w:rsidR="005E2F57">
        <w:rPr>
          <w:szCs w:val="22"/>
          <w:lang w:val="en-CA"/>
        </w:rPr>
        <w:t>.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6BCDE90A" w:rsidR="00771B59" w:rsidRDefault="0071081E" w:rsidP="0071081E">
      <w:pPr>
        <w:pStyle w:val="Heading2"/>
      </w:pPr>
      <w:r w:rsidRPr="0071081E">
        <w:t>m</w:t>
      </w:r>
      <w:r w:rsidR="00E35EFA">
        <w:t>5</w:t>
      </w:r>
      <w:r w:rsidR="0056233E">
        <w:t>2720</w:t>
      </w:r>
      <w:r w:rsidRPr="0071081E">
        <w:t>:</w:t>
      </w:r>
      <w:r w:rsidR="007E2002">
        <w:t xml:space="preserve"> </w:t>
      </w:r>
      <w:r w:rsidR="0056233E" w:rsidRPr="0056233E">
        <w:t xml:space="preserve">Alphabet-partition coding of transform coefficients </w:t>
      </w:r>
      <w:r w:rsidR="007E2002">
        <w:t>[1]</w:t>
      </w:r>
    </w:p>
    <w:p w14:paraId="45CEF8DC" w14:textId="3EA8A24F" w:rsidR="0059033B" w:rsidRDefault="0056233E" w:rsidP="0056233E">
      <w:pPr>
        <w:spacing w:after="200" w:line="276" w:lineRule="auto"/>
      </w:pPr>
      <w:bookmarkStart w:id="1" w:name="_Hlk519098367"/>
      <w:r w:rsidRPr="003215F2">
        <w:rPr>
          <w:iCs/>
        </w:rPr>
        <w:t>In this</w:t>
      </w:r>
      <w:r>
        <w:rPr>
          <w:iCs/>
        </w:rPr>
        <w:t xml:space="preserve"> </w:t>
      </w:r>
      <w:r w:rsidRPr="003215F2">
        <w:rPr>
          <w:iCs/>
        </w:rPr>
        <w:t xml:space="preserve">contribution, </w:t>
      </w:r>
      <w:bookmarkEnd w:id="1"/>
      <w:r>
        <w:rPr>
          <w:iCs/>
        </w:rPr>
        <w:t xml:space="preserve">a method for simplifying the attribute coefficient coding is proposed. It replaces multiple look-up-tables that need regular updates with a single fixed one and applies to coding of Predicting-Transform, Lifting-Transform, and RAHT-Transform coefficients. It shows coding gains for all testing conditions consistently and achieves average lossy BDR-savings of up to 1% (C2, Lifting) and lossless bitrate reduction of up to 2.4% (CW, Predict, reflectance). </w:t>
      </w:r>
    </w:p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39087833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4B30FF">
        <w:t>C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4B30FF">
        <w:rPr>
          <w:szCs w:val="22"/>
          <w:lang w:val="en-CA"/>
        </w:rPr>
        <w:t>transform coefficient coding</w:t>
      </w:r>
      <w:r w:rsidR="00147DF3" w:rsidRPr="00A90AB3">
        <w:rPr>
          <w:szCs w:val="22"/>
          <w:lang w:val="en-CA"/>
        </w:rPr>
        <w:t xml:space="preserve"> 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t>Mandates</w:t>
      </w:r>
    </w:p>
    <w:p w14:paraId="1FBC72F3" w14:textId="1E3164D7" w:rsidR="003763DE" w:rsidRPr="00A90AB3" w:rsidRDefault="0014213F" w:rsidP="0014213F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</w:pPr>
      <w:r>
        <w:rPr>
          <w:lang w:eastAsia="ja-JP"/>
        </w:rPr>
        <w:t xml:space="preserve">1. </w:t>
      </w:r>
      <w:r w:rsidR="0063274B">
        <w:rPr>
          <w:lang w:eastAsia="ja-JP"/>
        </w:rPr>
        <w:t>Study and evaluate the compression performance of the proposed method [1].</w:t>
      </w:r>
      <w:r w:rsidR="00147DF3" w:rsidRPr="00A90AB3">
        <w:rPr>
          <w:lang w:eastAsia="ja-JP"/>
        </w:rPr>
        <w:t xml:space="preserve"> </w:t>
      </w:r>
    </w:p>
    <w:p w14:paraId="00A938C6" w14:textId="5E74E5CF" w:rsidR="000751DA" w:rsidRDefault="0014213F" w:rsidP="0014213F">
      <w:pPr>
        <w:tabs>
          <w:tab w:val="left" w:pos="420"/>
        </w:tabs>
        <w:rPr>
          <w:lang w:eastAsia="ja-JP"/>
        </w:rPr>
      </w:pPr>
      <w:r>
        <w:rPr>
          <w:lang w:eastAsia="ja-JP"/>
        </w:rPr>
        <w:t xml:space="preserve">2. </w:t>
      </w:r>
      <w:r w:rsidR="0063274B">
        <w:rPr>
          <w:lang w:eastAsia="ja-JP"/>
        </w:rPr>
        <w:t xml:space="preserve">Evaluate </w:t>
      </w:r>
      <w:r w:rsidR="00FF42B3">
        <w:rPr>
          <w:lang w:eastAsia="ja-JP"/>
        </w:rPr>
        <w:t>the trade-off between the coding performance and complexity of the method.</w:t>
      </w:r>
      <w:r w:rsidR="000D730F">
        <w:rPr>
          <w:lang w:eastAsia="ja-JP"/>
        </w:rPr>
        <w:t xml:space="preserve"> </w:t>
      </w:r>
    </w:p>
    <w:p w14:paraId="1CF73039" w14:textId="77777777" w:rsidR="0075679E" w:rsidRDefault="0075679E" w:rsidP="008B7DF8">
      <w:pPr>
        <w:pStyle w:val="Heading2"/>
      </w:pPr>
      <w:r>
        <w:lastRenderedPageBreak/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03155C17" w:rsidR="00B14BE4" w:rsidRDefault="00B14BE4" w:rsidP="00B14BE4">
            <w:pPr>
              <w:spacing w:after="0"/>
            </w:pPr>
            <w:r w:rsidRPr="00D71326">
              <w:t>Khaled Mammou</w:t>
            </w:r>
          </w:p>
        </w:tc>
        <w:tc>
          <w:tcPr>
            <w:tcW w:w="1889" w:type="dxa"/>
          </w:tcPr>
          <w:p w14:paraId="51A8FC3A" w14:textId="657AA2FD" w:rsidR="00B14BE4" w:rsidRDefault="00B14BE4" w:rsidP="00B14BE4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1CA31E14" w:rsidR="00B14BE4" w:rsidRPr="004E44FD" w:rsidRDefault="00157BDA" w:rsidP="00B14BE4">
            <w:pPr>
              <w:spacing w:after="0"/>
              <w:rPr>
                <w:lang w:eastAsia="ja-JP"/>
              </w:rPr>
            </w:pPr>
            <w:hyperlink r:id="rId9" w:history="1">
              <w:r w:rsidR="00B14BE4" w:rsidRPr="001B5163">
                <w:rPr>
                  <w:rStyle w:val="Hyperlink"/>
                  <w:lang w:eastAsia="ja-JP"/>
                </w:rPr>
                <w:t>kmammou@apple.com</w:t>
              </w:r>
            </w:hyperlink>
            <w:r w:rsidR="00B14BE4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4FABF8E6" w:rsidR="00B14BE4" w:rsidRDefault="00FF42B3" w:rsidP="00B14BE4">
            <w:pPr>
              <w:spacing w:after="0"/>
            </w:pPr>
            <w:r>
              <w:t xml:space="preserve"> </w:t>
            </w:r>
          </w:p>
        </w:tc>
        <w:tc>
          <w:tcPr>
            <w:tcW w:w="1889" w:type="dxa"/>
          </w:tcPr>
          <w:p w14:paraId="793BA8FF" w14:textId="6E02232E" w:rsidR="00B14BE4" w:rsidRDefault="00B14BE4" w:rsidP="00B14BE4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F26CA8B" w:rsidR="00B14BE4" w:rsidRPr="00257B4F" w:rsidRDefault="00B14BE4" w:rsidP="00B14BE4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72175C2C" w:rsidR="00B14BE4" w:rsidRPr="00D71326" w:rsidRDefault="00FF42B3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B14BE4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B14BE4" w:rsidRPr="00AB3878" w:rsidRDefault="00B14BE4" w:rsidP="00B14BE4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B14BE4" w:rsidRPr="00AB3878" w:rsidRDefault="00B14BE4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B14BE4" w:rsidRDefault="00B14BE4" w:rsidP="00B14BE4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55BC1679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FF42B3">
        <w:t>9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FF42B3">
        <w:t>9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2959ED97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FF42B3">
        <w:t>9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2D7F5581" w:rsidR="001D3F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47DF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8FFFD0D" w14:textId="3B9427A1" w:rsidR="00FF42B3" w:rsidRDefault="00FF42B3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</w:p>
    <w:p w14:paraId="3DC111D9" w14:textId="2824A850" w:rsidR="00FF42B3" w:rsidRDefault="00FF42B3" w:rsidP="00FF42B3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>
        <w:t>Predict-Lifting + Octree</w:t>
      </w:r>
    </w:p>
    <w:p w14:paraId="0D2A4C16" w14:textId="2EC585C5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1</w:t>
      </w:r>
      <w:r w:rsidR="0035746E">
        <w:t xml:space="preserve">   </w:t>
      </w:r>
      <w:r w:rsidR="001332FA">
        <w:t>Lo</w:t>
      </w:r>
      <w:r>
        <w:t xml:space="preserve">ssless Geometry </w:t>
      </w:r>
      <w:r w:rsidR="00FF42B3">
        <w:t>-</w:t>
      </w:r>
      <w:r>
        <w:t xml:space="preserve"> Loss</w:t>
      </w:r>
      <w:r w:rsidR="00E35EFA">
        <w:t xml:space="preserve">y </w:t>
      </w:r>
      <w:r>
        <w:t>Attributes</w:t>
      </w:r>
    </w:p>
    <w:p w14:paraId="4F64A0C6" w14:textId="030BF373" w:rsidR="00FF42B3" w:rsidRDefault="00B424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FF42B3">
        <w:t>2   Lossy Geometry - Lossy Attributes</w:t>
      </w:r>
    </w:p>
    <w:p w14:paraId="0EF58B62" w14:textId="5E7CC408" w:rsidR="00FF42B3" w:rsidRDefault="00FF42B3" w:rsidP="00214D32">
      <w:pPr>
        <w:numPr>
          <w:ilvl w:val="0"/>
          <w:numId w:val="21"/>
        </w:numPr>
        <w:spacing w:before="120" w:after="0" w:line="240" w:lineRule="auto"/>
        <w:contextualSpacing/>
      </w:pPr>
      <w:proofErr w:type="gramStart"/>
      <w:r>
        <w:t>CY  Lossless</w:t>
      </w:r>
      <w:proofErr w:type="gramEnd"/>
      <w:r>
        <w:t xml:space="preserve"> Geometry - </w:t>
      </w:r>
      <w:proofErr w:type="spellStart"/>
      <w:r>
        <w:t>Nearlossless</w:t>
      </w:r>
      <w:proofErr w:type="spellEnd"/>
      <w:r>
        <w:t xml:space="preserve"> Attributes </w:t>
      </w:r>
    </w:p>
    <w:p w14:paraId="708EF3CB" w14:textId="1D281F92" w:rsidR="00CC4015" w:rsidRDefault="00FF42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W</w:t>
      </w:r>
      <w:r w:rsidR="00B424B3">
        <w:t xml:space="preserve"> Lossless Geometry </w:t>
      </w:r>
      <w:r>
        <w:t>-</w:t>
      </w:r>
      <w:r w:rsidR="00B424B3">
        <w:t xml:space="preserve"> Los</w:t>
      </w:r>
      <w:r w:rsidR="00E35EFA">
        <w:t>sless</w:t>
      </w:r>
      <w:r w:rsidR="00B424B3">
        <w:t xml:space="preserve"> Attributes</w:t>
      </w:r>
    </w:p>
    <w:p w14:paraId="274FF3EA" w14:textId="77777777" w:rsidR="00FF42B3" w:rsidRDefault="00FF42B3" w:rsidP="00FF42B3">
      <w:pPr>
        <w:spacing w:before="120" w:after="0" w:line="240" w:lineRule="auto"/>
        <w:ind w:left="720"/>
        <w:contextualSpacing/>
      </w:pPr>
    </w:p>
    <w:p w14:paraId="249CD16F" w14:textId="413CBDF7" w:rsidR="00FF42B3" w:rsidRDefault="00FF42B3" w:rsidP="00FF42B3">
      <w:pPr>
        <w:spacing w:before="120" w:after="0" w:line="240" w:lineRule="auto"/>
        <w:contextualSpacing/>
      </w:pPr>
      <w:r>
        <w:t>RAHT + Octree</w:t>
      </w:r>
    </w:p>
    <w:p w14:paraId="7B34A55B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C1   Lossless Geometry - Lossy Attributes</w:t>
      </w:r>
    </w:p>
    <w:p w14:paraId="2DB89490" w14:textId="52508FDC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77ABD0AC" w14:textId="157149F4" w:rsidR="00FF42B3" w:rsidRDefault="00FF42B3" w:rsidP="00FF42B3">
      <w:pPr>
        <w:spacing w:before="120" w:after="0" w:line="240" w:lineRule="auto"/>
        <w:contextualSpacing/>
      </w:pPr>
    </w:p>
    <w:p w14:paraId="362EC5AC" w14:textId="13B10E25" w:rsidR="00FF42B3" w:rsidRDefault="00157BDA" w:rsidP="00FF42B3">
      <w:pPr>
        <w:spacing w:before="120" w:after="0" w:line="240" w:lineRule="auto"/>
        <w:contextualSpacing/>
      </w:pPr>
      <w:r>
        <w:t xml:space="preserve">(Optional Tests) </w:t>
      </w:r>
      <w:r w:rsidR="00FF42B3">
        <w:t xml:space="preserve">Predict-Lifting + </w:t>
      </w:r>
      <w:proofErr w:type="spellStart"/>
      <w:r w:rsidR="00FF42B3">
        <w:t>Trisoup</w:t>
      </w:r>
      <w:proofErr w:type="spellEnd"/>
      <w:r w:rsidR="00FF42B3">
        <w:t xml:space="preserve"> </w:t>
      </w:r>
    </w:p>
    <w:p w14:paraId="6E7726AE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52AFE893" w14:textId="417A42B8" w:rsidR="00FF42B3" w:rsidRDefault="00FF42B3" w:rsidP="00FF42B3">
      <w:pPr>
        <w:spacing w:before="120" w:after="0" w:line="240" w:lineRule="auto"/>
        <w:contextualSpacing/>
      </w:pPr>
    </w:p>
    <w:p w14:paraId="0A5E553A" w14:textId="25226F28" w:rsidR="00FF42B3" w:rsidRDefault="00157BDA" w:rsidP="00FF42B3">
      <w:pPr>
        <w:spacing w:before="120" w:after="0" w:line="240" w:lineRule="auto"/>
        <w:contextualSpacing/>
      </w:pPr>
      <w:r>
        <w:t xml:space="preserve">(Optional Tests) </w:t>
      </w:r>
      <w:r w:rsidR="00FF42B3">
        <w:t xml:space="preserve">RAHT + </w:t>
      </w:r>
      <w:proofErr w:type="spellStart"/>
      <w:r w:rsidR="00FF42B3">
        <w:t>Trisoup</w:t>
      </w:r>
      <w:proofErr w:type="spellEnd"/>
      <w:r w:rsidR="00FF42B3">
        <w:t xml:space="preserve"> </w:t>
      </w:r>
    </w:p>
    <w:p w14:paraId="6FBE2AE1" w14:textId="0A0B121E" w:rsidR="004E3FDA" w:rsidRDefault="00FF42B3" w:rsidP="00371492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7B4FB674" w14:textId="66048141" w:rsidR="00515C3F" w:rsidRDefault="00FF42B3" w:rsidP="008B7DF8">
      <w:pPr>
        <w:pStyle w:val="Heading2"/>
        <w:rPr>
          <w:lang w:val="de-AT"/>
        </w:rPr>
      </w:pPr>
      <w:r>
        <w:rPr>
          <w:lang w:val="de-AT"/>
        </w:rPr>
        <w:t>C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>
        <w:rPr>
          <w:lang w:val="de-AT"/>
        </w:rPr>
        <w:t>3</w:t>
      </w:r>
      <w:r w:rsidR="007E2002"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0037F595" w:rsidR="000000FD" w:rsidRDefault="00B424B3" w:rsidP="000000FD">
      <w:proofErr w:type="spellStart"/>
      <w:r>
        <w:t>Sehoon</w:t>
      </w:r>
      <w:proofErr w:type="spellEnd"/>
      <w:r>
        <w:t xml:space="preserve"> Yea</w:t>
      </w:r>
      <w:r w:rsidR="000000FD">
        <w:t xml:space="preserve"> (</w:t>
      </w:r>
      <w:hyperlink r:id="rId10" w:history="1"/>
      <w:hyperlink r:id="rId11" w:history="1">
        <w:r w:rsidR="00157BDA" w:rsidRPr="00E851BE">
          <w:rPr>
            <w:rStyle w:val="Hyperlink"/>
          </w:rPr>
          <w:t>sehoonyea@tencent.com</w:t>
        </w:r>
      </w:hyperlink>
      <w:r w:rsidR="000000FD">
        <w:t>)</w:t>
      </w:r>
    </w:p>
    <w:p w14:paraId="74C78741" w14:textId="77777777" w:rsidR="00157BDA" w:rsidRPr="000000FD" w:rsidRDefault="00157BDA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3FDBC8F7" w14:textId="22780B35" w:rsidR="007E2002" w:rsidRPr="00D154F7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D154F7">
        <w:rPr>
          <w:b/>
          <w:lang w:val="en-GB"/>
        </w:rPr>
        <w:t>20</w:t>
      </w:r>
      <w:r w:rsidR="00157BDA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157BDA">
        <w:rPr>
          <w:b/>
          <w:lang w:val="en-GB"/>
        </w:rPr>
        <w:t>03</w:t>
      </w:r>
      <w:r w:rsidRPr="00D154F7">
        <w:rPr>
          <w:b/>
          <w:lang w:val="en-GB"/>
        </w:rPr>
        <w:t>-</w:t>
      </w:r>
      <w:r w:rsidR="00157BDA">
        <w:rPr>
          <w:b/>
          <w:lang w:val="en-GB"/>
        </w:rPr>
        <w:t>20</w:t>
      </w:r>
      <w:r w:rsidRPr="00D154F7">
        <w:rPr>
          <w:lang w:val="en-GB"/>
        </w:rPr>
        <w:t>: Deliver source code and results for cross check;</w:t>
      </w:r>
    </w:p>
    <w:p w14:paraId="6DB9839E" w14:textId="322805F9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157BDA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157BDA">
        <w:rPr>
          <w:b/>
          <w:lang w:val="en-GB"/>
        </w:rPr>
        <w:t>04</w:t>
      </w:r>
      <w:r w:rsidRPr="00D154F7">
        <w:rPr>
          <w:b/>
          <w:lang w:val="en-GB"/>
        </w:rPr>
        <w:t>-</w:t>
      </w:r>
      <w:r w:rsidR="00157BDA">
        <w:rPr>
          <w:b/>
          <w:lang w:val="en-GB"/>
        </w:rPr>
        <w:t>03</w:t>
      </w:r>
      <w:r w:rsidRPr="00D154F7">
        <w:rPr>
          <w:lang w:val="en-GB"/>
        </w:rPr>
        <w:t>:</w:t>
      </w:r>
      <w:r w:rsidRPr="00C355B9">
        <w:rPr>
          <w:b/>
          <w:lang w:val="en-GB"/>
        </w:rPr>
        <w:t xml:space="preserve"> </w:t>
      </w:r>
      <w:r w:rsidRPr="00C355B9">
        <w:rPr>
          <w:lang w:val="en-GB"/>
        </w:rPr>
        <w:t>Report of preliminary cross check results;</w:t>
      </w:r>
    </w:p>
    <w:p w14:paraId="00FB4714" w14:textId="3C73B5D1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E35EFA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E35EFA">
        <w:rPr>
          <w:b/>
          <w:lang w:val="en-GB"/>
        </w:rPr>
        <w:t>0</w:t>
      </w:r>
      <w:r w:rsidR="00157BDA">
        <w:rPr>
          <w:b/>
          <w:lang w:val="en-GB"/>
        </w:rPr>
        <w:t>4</w:t>
      </w:r>
      <w:r w:rsidRPr="00D154F7">
        <w:rPr>
          <w:b/>
          <w:lang w:val="en-GB"/>
        </w:rPr>
        <w:t>-</w:t>
      </w:r>
      <w:r w:rsidR="00157BDA">
        <w:rPr>
          <w:b/>
          <w:lang w:val="en-GB"/>
        </w:rPr>
        <w:t>15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2"/>
    <w:p w14:paraId="37F28883" w14:textId="77777777" w:rsidR="00213CD9" w:rsidRDefault="00213CD9" w:rsidP="00E21DA8">
      <w:pPr>
        <w:pStyle w:val="Heading1"/>
      </w:pPr>
      <w:r w:rsidRPr="00213CD9">
        <w:lastRenderedPageBreak/>
        <w:t>References</w:t>
      </w:r>
    </w:p>
    <w:p w14:paraId="56381DCD" w14:textId="77777777" w:rsidR="00157BDA" w:rsidRPr="00157BDA" w:rsidRDefault="004425C0" w:rsidP="00157BDA">
      <w:pPr>
        <w:pStyle w:val="ListParagraph"/>
        <w:numPr>
          <w:ilvl w:val="0"/>
          <w:numId w:val="9"/>
        </w:numPr>
        <w:rPr>
          <w:lang w:eastAsia="ko-KR"/>
        </w:rPr>
      </w:pPr>
      <w:bookmarkStart w:id="3" w:name="_Ref9864475"/>
      <w:bookmarkStart w:id="4" w:name="_Ref511838956"/>
      <w:bookmarkStart w:id="5" w:name="_Ref511839159"/>
      <w:r w:rsidRPr="00157BDA">
        <w:rPr>
          <w:rFonts w:eastAsia="Gulim"/>
          <w:lang w:val="en-CA" w:eastAsia="ko-KR"/>
        </w:rPr>
        <w:t>Alphabet-partition coding of transform coefficients</w:t>
      </w:r>
      <w:r w:rsidR="007E2002" w:rsidRPr="00157BDA">
        <w:rPr>
          <w:rFonts w:eastAsia="Gulim"/>
          <w:lang w:val="en-CA" w:eastAsia="ko-KR"/>
        </w:rPr>
        <w:t>, ISO/IEC JTC1/SC29 WG11 m</w:t>
      </w:r>
      <w:r w:rsidR="00E35EFA" w:rsidRPr="00157BDA">
        <w:rPr>
          <w:rFonts w:eastAsia="Gulim"/>
          <w:lang w:val="en-CA" w:eastAsia="ko-KR"/>
        </w:rPr>
        <w:t>5</w:t>
      </w:r>
      <w:r w:rsidRPr="00157BDA">
        <w:rPr>
          <w:rFonts w:eastAsia="Gulim"/>
          <w:lang w:val="en-CA" w:eastAsia="ko-KR"/>
        </w:rPr>
        <w:t>2720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Brussels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BE</w:t>
      </w:r>
      <w:r w:rsidR="007E2002" w:rsidRPr="00157BDA">
        <w:rPr>
          <w:rFonts w:eastAsia="Gulim"/>
          <w:lang w:val="en-CA" w:eastAsia="ko-KR"/>
        </w:rPr>
        <w:t xml:space="preserve">, </w:t>
      </w:r>
      <w:r w:rsidRPr="00157BDA">
        <w:rPr>
          <w:rFonts w:eastAsia="Gulim"/>
          <w:lang w:val="en-CA" w:eastAsia="ko-KR"/>
        </w:rPr>
        <w:t>January</w:t>
      </w:r>
      <w:r w:rsidR="007E2002" w:rsidRPr="00157BDA">
        <w:rPr>
          <w:rFonts w:eastAsia="Gulim"/>
          <w:lang w:val="en-CA" w:eastAsia="ko-KR"/>
        </w:rPr>
        <w:t xml:space="preserve"> 20</w:t>
      </w:r>
      <w:r w:rsidRPr="00157BDA">
        <w:rPr>
          <w:rFonts w:eastAsia="Gulim"/>
          <w:lang w:val="en-CA" w:eastAsia="ko-KR"/>
        </w:rPr>
        <w:t>20.</w:t>
      </w:r>
    </w:p>
    <w:p w14:paraId="2EBA7F46" w14:textId="77777777" w:rsidR="00157BDA" w:rsidRDefault="00157BDA" w:rsidP="00157BDA">
      <w:pPr>
        <w:pStyle w:val="ListParagraph"/>
        <w:numPr>
          <w:ilvl w:val="0"/>
          <w:numId w:val="9"/>
        </w:numPr>
        <w:rPr>
          <w:lang w:eastAsia="ko-KR"/>
        </w:rPr>
      </w:pPr>
      <w:r w:rsidRPr="00157BDA">
        <w:rPr>
          <w:rFonts w:eastAsia="Malgun Gothic"/>
          <w:lang w:eastAsia="ko-KR"/>
        </w:rPr>
        <w:t>G-PCC Test Model v9</w:t>
      </w:r>
      <w:r w:rsidR="007E2002" w:rsidRPr="00157BDA">
        <w:rPr>
          <w:rFonts w:eastAsia="Malgun Gothic"/>
          <w:lang w:eastAsia="ko-KR"/>
        </w:rPr>
        <w:t xml:space="preserve">, </w:t>
      </w:r>
      <w:r w:rsidR="007E2002" w:rsidRPr="00157BDA">
        <w:rPr>
          <w:szCs w:val="28"/>
          <w:lang w:eastAsia="ko-KR"/>
        </w:rPr>
        <w:t xml:space="preserve">ISO/IEC JTC1/SC29/WG11 </w:t>
      </w:r>
      <w:r w:rsidR="007E2002" w:rsidRPr="00157BDA">
        <w:rPr>
          <w:rFonts w:eastAsia="Malgun Gothic"/>
          <w:lang w:eastAsia="ko-KR"/>
        </w:rPr>
        <w:t>w1</w:t>
      </w:r>
      <w:r w:rsidRPr="00157BDA">
        <w:rPr>
          <w:rFonts w:eastAsia="Malgun Gothic"/>
          <w:lang w:eastAsia="ko-KR"/>
        </w:rPr>
        <w:t>9083</w:t>
      </w:r>
      <w:r w:rsidR="007E2002" w:rsidRPr="00157BDA">
        <w:rPr>
          <w:rFonts w:eastAsia="Malgun Gothic"/>
          <w:lang w:eastAsia="ko-KR"/>
        </w:rPr>
        <w:t xml:space="preserve">, </w:t>
      </w:r>
      <w:r w:rsidRPr="00157BDA">
        <w:rPr>
          <w:rFonts w:eastAsia="Malgun Gothic"/>
          <w:lang w:eastAsia="ko-KR"/>
        </w:rPr>
        <w:t>Brussels, B</w:t>
      </w:r>
      <w:r w:rsidR="007E2002">
        <w:rPr>
          <w:lang w:eastAsia="ko-KR"/>
        </w:rPr>
        <w:t xml:space="preserve">E, </w:t>
      </w:r>
      <w:r>
        <w:rPr>
          <w:lang w:eastAsia="ko-KR"/>
        </w:rPr>
        <w:t>January</w:t>
      </w:r>
      <w:r w:rsidR="007E2002">
        <w:rPr>
          <w:lang w:eastAsia="ko-KR"/>
        </w:rPr>
        <w:t xml:space="preserve"> 20</w:t>
      </w:r>
      <w:r>
        <w:rPr>
          <w:lang w:eastAsia="ko-KR"/>
        </w:rPr>
        <w:t>20</w:t>
      </w:r>
      <w:r w:rsidR="007E2002">
        <w:rPr>
          <w:lang w:eastAsia="ko-KR"/>
        </w:rPr>
        <w:t>.</w:t>
      </w:r>
    </w:p>
    <w:p w14:paraId="0C683627" w14:textId="3E1E62A1" w:rsidR="007E2002" w:rsidRPr="001B65DF" w:rsidRDefault="007E2002" w:rsidP="00157BDA">
      <w:pPr>
        <w:pStyle w:val="ListParagraph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>
        <w:rPr>
          <w:lang w:eastAsia="ko-KR"/>
        </w:rPr>
        <w:t>w1</w:t>
      </w:r>
      <w:r w:rsidR="00157BDA">
        <w:rPr>
          <w:lang w:eastAsia="ko-KR"/>
        </w:rPr>
        <w:t>9084</w:t>
      </w:r>
      <w:r w:rsidRPr="003E1C4E">
        <w:rPr>
          <w:lang w:eastAsia="ko-KR"/>
        </w:rPr>
        <w:t xml:space="preserve">, </w:t>
      </w:r>
      <w:r w:rsidR="00157BDA">
        <w:rPr>
          <w:lang w:eastAsia="ko-KR"/>
        </w:rPr>
        <w:t>Brussels</w:t>
      </w:r>
      <w:r w:rsidRPr="00A53519">
        <w:rPr>
          <w:lang w:eastAsia="ko-KR"/>
        </w:rPr>
        <w:t xml:space="preserve">, </w:t>
      </w:r>
      <w:r w:rsidR="00157BDA">
        <w:rPr>
          <w:lang w:eastAsia="ko-KR"/>
        </w:rPr>
        <w:t>B</w:t>
      </w:r>
      <w:r>
        <w:rPr>
          <w:lang w:eastAsia="ko-KR"/>
        </w:rPr>
        <w:t xml:space="preserve">E, </w:t>
      </w:r>
      <w:r w:rsidR="00157BDA">
        <w:rPr>
          <w:lang w:eastAsia="ko-KR"/>
        </w:rPr>
        <w:t>January</w:t>
      </w:r>
      <w:r>
        <w:rPr>
          <w:lang w:eastAsia="ko-KR"/>
        </w:rPr>
        <w:t xml:space="preserve"> 20</w:t>
      </w:r>
      <w:r w:rsidR="00157BDA">
        <w:rPr>
          <w:lang w:eastAsia="ko-KR"/>
        </w:rPr>
        <w:t>20</w:t>
      </w:r>
      <w:r>
        <w:rPr>
          <w:lang w:eastAsia="ko-KR"/>
        </w:rPr>
        <w:t>.</w:t>
      </w:r>
    </w:p>
    <w:bookmarkEnd w:id="3"/>
    <w:bookmarkEnd w:id="4"/>
    <w:bookmarkEnd w:id="5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84541BBC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685"/>
    <w:rsid w:val="000C79FC"/>
    <w:rsid w:val="000D730F"/>
    <w:rsid w:val="000E1BA5"/>
    <w:rsid w:val="000E4156"/>
    <w:rsid w:val="000F2EDC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57BDA"/>
    <w:rsid w:val="00166AB5"/>
    <w:rsid w:val="001670D0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E116F"/>
    <w:rsid w:val="003E1DC8"/>
    <w:rsid w:val="003E681C"/>
    <w:rsid w:val="003F1634"/>
    <w:rsid w:val="003F482F"/>
    <w:rsid w:val="004148A5"/>
    <w:rsid w:val="00417900"/>
    <w:rsid w:val="00441511"/>
    <w:rsid w:val="0044172D"/>
    <w:rsid w:val="004425C0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B30FF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6233E"/>
    <w:rsid w:val="0059033B"/>
    <w:rsid w:val="00597653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274B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42B3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42B3"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hoonyea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kmammou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324431-F06F-406B-9A53-EC18D3D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Sehon Yea</cp:lastModifiedBy>
  <cp:revision>27</cp:revision>
  <cp:lastPrinted>2016-10-10T12:44:00Z</cp:lastPrinted>
  <dcterms:created xsi:type="dcterms:W3CDTF">2019-10-11T09:04:00Z</dcterms:created>
  <dcterms:modified xsi:type="dcterms:W3CDTF">2020-02-11T17:25:00Z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