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118D2" w14:textId="3A6CE42E" w:rsidR="0071081E" w:rsidRDefault="0071081E" w:rsidP="005762E6">
      <w:pPr>
        <w:spacing w:after="0" w:line="200" w:lineRule="exact"/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46D10BE5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6905CA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6905CA" w:rsidRPr="006905CA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</w:t>
                            </w:r>
                            <w:r w:rsidR="00BA1130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91</w:t>
                            </w:r>
                            <w:r w:rsidR="00485171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46D10BE5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6905CA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6905CA" w:rsidRPr="006905CA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</w:t>
                      </w:r>
                      <w:r w:rsidR="00BA1130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91</w:t>
                      </w:r>
                      <w:r w:rsidR="00485171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15344F90" w14:textId="3AC0AF19" w:rsidR="0071081E" w:rsidRDefault="0071081E" w:rsidP="008D7173">
      <w:pPr>
        <w:tabs>
          <w:tab w:val="left" w:pos="2835"/>
        </w:tabs>
        <w:spacing w:after="0" w:line="240" w:lineRule="auto"/>
        <w:ind w:left="2835" w:right="-20" w:hanging="2711"/>
        <w:rPr>
          <w:sz w:val="20"/>
          <w:szCs w:val="20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Pr="008166B8">
        <w:rPr>
          <w:rFonts w:eastAsia="Times New Roman"/>
          <w:b/>
          <w:bCs/>
        </w:rPr>
        <w:t xml:space="preserve">Description of </w:t>
      </w:r>
      <w:r w:rsidR="008E0CFB" w:rsidRPr="008166B8">
        <w:rPr>
          <w:rFonts w:eastAsia="Times New Roman"/>
          <w:b/>
          <w:bCs/>
        </w:rPr>
        <w:t>Core</w:t>
      </w:r>
      <w:r w:rsidRPr="008166B8">
        <w:rPr>
          <w:rFonts w:eastAsia="Times New Roman"/>
          <w:b/>
          <w:bCs/>
        </w:rPr>
        <w:t xml:space="preserve"> Experiment </w:t>
      </w:r>
      <w:r w:rsidR="008D7173" w:rsidRPr="00D53175">
        <w:rPr>
          <w:rFonts w:eastAsia="Times New Roman"/>
          <w:b/>
          <w:bCs/>
        </w:rPr>
        <w:t xml:space="preserve">Geometry </w:t>
      </w:r>
      <w:r w:rsidR="008D7173">
        <w:rPr>
          <w:rFonts w:eastAsia="Times New Roman"/>
          <w:b/>
          <w:bCs/>
        </w:rPr>
        <w:t xml:space="preserve">13.29 </w:t>
      </w:r>
      <w:r w:rsidR="002761E0">
        <w:rPr>
          <w:rFonts w:eastAsia="Times New Roman"/>
          <w:b/>
          <w:bCs/>
        </w:rPr>
        <w:t>Quantisation</w:t>
      </w:r>
      <w:r w:rsidR="008D7173" w:rsidRPr="00D53175">
        <w:rPr>
          <w:rFonts w:eastAsia="Times New Roman"/>
          <w:b/>
          <w:bCs/>
        </w:rPr>
        <w:t xml:space="preserve"> QP Control</w:t>
      </w: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7437140C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Pr="003F10CF">
        <w:rPr>
          <w:rFonts w:eastAsia="Times New Roman"/>
          <w:b/>
          <w:bCs/>
          <w:spacing w:val="-6"/>
          <w:w w:val="107"/>
        </w:rPr>
        <w:t>2019</w:t>
      </w:r>
      <w:r w:rsidRPr="003F10CF">
        <w:rPr>
          <w:rFonts w:eastAsia="Times New Roman"/>
          <w:b/>
          <w:bCs/>
          <w:spacing w:val="-3"/>
          <w:w w:val="119"/>
        </w:rPr>
        <w:t>-</w:t>
      </w:r>
      <w:r w:rsidR="00BA1130">
        <w:rPr>
          <w:rFonts w:eastAsia="Times New Roman"/>
          <w:b/>
          <w:bCs/>
          <w:spacing w:val="-6"/>
          <w:w w:val="107"/>
        </w:rPr>
        <w:t>01</w:t>
      </w:r>
      <w:r w:rsidRPr="003F10CF">
        <w:rPr>
          <w:rFonts w:eastAsia="Times New Roman"/>
          <w:b/>
          <w:bCs/>
          <w:spacing w:val="-6"/>
          <w:w w:val="107"/>
        </w:rPr>
        <w:t>-</w:t>
      </w:r>
      <w:r w:rsidR="00BA1130">
        <w:rPr>
          <w:rFonts w:eastAsia="Times New Roman"/>
          <w:b/>
          <w:bCs/>
          <w:spacing w:val="-6"/>
          <w:w w:val="107"/>
        </w:rPr>
        <w:t>31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10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8E0CFB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en-GB" w:eastAsia="zh-CN"/>
        </w:rPr>
      </w:pPr>
      <w:r w:rsidRPr="008E0CFB">
        <w:rPr>
          <w:rFonts w:eastAsia="宋体"/>
          <w:b/>
          <w:sz w:val="28"/>
          <w:lang w:val="en-GB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 w:rsidRPr="00CB6FF9">
        <w:rPr>
          <w:rFonts w:eastAsia="宋体"/>
          <w:b/>
          <w:sz w:val="28"/>
          <w:lang w:val="fr-FR" w:eastAsia="zh-CN"/>
        </w:rPr>
        <w:t>ISO/IEC JTC 1/SC 29/WG 11</w:t>
      </w:r>
    </w:p>
    <w:p w14:paraId="719F214F" w14:textId="77777777" w:rsidR="0071081E" w:rsidRPr="008E0CFB" w:rsidRDefault="0071081E" w:rsidP="0071081E">
      <w:pPr>
        <w:spacing w:after="0" w:line="240" w:lineRule="auto"/>
        <w:jc w:val="center"/>
        <w:rPr>
          <w:rFonts w:eastAsia="宋体"/>
          <w:b/>
          <w:sz w:val="28"/>
          <w:lang w:val="en-GB" w:eastAsia="zh-CN"/>
        </w:rPr>
      </w:pPr>
      <w:r w:rsidRPr="008E0CFB">
        <w:rPr>
          <w:rFonts w:eastAsia="宋体"/>
          <w:b/>
          <w:sz w:val="28"/>
          <w:lang w:val="en-GB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629F2611" w:rsidR="0071081E" w:rsidRPr="008E0CFB" w:rsidRDefault="0071081E" w:rsidP="0071081E">
      <w:pPr>
        <w:spacing w:after="0" w:line="240" w:lineRule="auto"/>
        <w:jc w:val="right"/>
        <w:rPr>
          <w:rFonts w:eastAsia="宋体"/>
          <w:b/>
          <w:sz w:val="48"/>
          <w:lang w:eastAsia="zh-CN"/>
        </w:rPr>
      </w:pPr>
      <w:r w:rsidRPr="008E0CFB">
        <w:rPr>
          <w:rFonts w:eastAsia="宋体"/>
          <w:b/>
          <w:sz w:val="28"/>
          <w:lang w:eastAsia="zh-CN"/>
        </w:rPr>
        <w:t xml:space="preserve">ISO/IEC JTC 1/SC 29/WG 11 </w:t>
      </w:r>
      <w:r w:rsidRPr="006905CA">
        <w:rPr>
          <w:rFonts w:eastAsia="宋体"/>
          <w:b/>
          <w:sz w:val="48"/>
          <w:lang w:eastAsia="zh-CN"/>
        </w:rPr>
        <w:t>N</w:t>
      </w:r>
      <w:r w:rsidR="006905CA">
        <w:rPr>
          <w:rFonts w:eastAsia="宋体"/>
          <w:b/>
          <w:sz w:val="48"/>
          <w:lang w:eastAsia="zh-CN"/>
        </w:rPr>
        <w:t>1</w:t>
      </w:r>
      <w:r w:rsidR="00BA1130">
        <w:rPr>
          <w:rFonts w:eastAsia="宋体"/>
          <w:b/>
          <w:sz w:val="48"/>
          <w:lang w:eastAsia="zh-CN"/>
        </w:rPr>
        <w:t>91</w:t>
      </w:r>
      <w:r w:rsidR="00485171">
        <w:rPr>
          <w:rFonts w:eastAsia="宋体" w:hint="eastAsia"/>
          <w:b/>
          <w:sz w:val="48"/>
          <w:lang w:eastAsia="zh-CN"/>
        </w:rPr>
        <w:t>13</w:t>
      </w:r>
    </w:p>
    <w:p w14:paraId="5A449647" w14:textId="0D3558B8" w:rsidR="0071081E" w:rsidRPr="00CB6FF9" w:rsidRDefault="00BA1130" w:rsidP="0071081E">
      <w:pPr>
        <w:spacing w:after="0" w:line="240" w:lineRule="auto"/>
        <w:jc w:val="right"/>
        <w:rPr>
          <w:rFonts w:eastAsia="宋体"/>
          <w:b/>
          <w:sz w:val="28"/>
          <w:lang w:val="fr-FR" w:eastAsia="zh-CN"/>
        </w:rPr>
      </w:pPr>
      <w:r>
        <w:rPr>
          <w:rFonts w:eastAsia="宋体"/>
          <w:b/>
          <w:sz w:val="28"/>
          <w:lang w:val="fr-FR" w:eastAsia="zh-CN"/>
        </w:rPr>
        <w:t>Brussels</w:t>
      </w:r>
      <w:r w:rsidR="0071081E">
        <w:rPr>
          <w:rFonts w:eastAsia="宋体"/>
          <w:b/>
          <w:sz w:val="28"/>
          <w:lang w:val="fr-FR" w:eastAsia="zh-CN"/>
        </w:rPr>
        <w:t xml:space="preserve">, </w:t>
      </w:r>
      <w:r>
        <w:rPr>
          <w:rFonts w:eastAsia="宋体"/>
          <w:b/>
          <w:sz w:val="28"/>
          <w:lang w:val="fr-FR" w:eastAsia="zh-CN"/>
        </w:rPr>
        <w:t>Belgium</w:t>
      </w:r>
      <w:r w:rsidR="0071081E">
        <w:rPr>
          <w:rFonts w:eastAsia="宋体"/>
          <w:b/>
          <w:sz w:val="28"/>
          <w:lang w:val="fr-FR" w:eastAsia="zh-CN"/>
        </w:rPr>
        <w:t xml:space="preserve"> – </w:t>
      </w:r>
      <w:r>
        <w:rPr>
          <w:rFonts w:eastAsia="宋体"/>
          <w:b/>
          <w:sz w:val="28"/>
          <w:lang w:val="fr-FR" w:eastAsia="zh-CN"/>
        </w:rPr>
        <w:t>January</w:t>
      </w:r>
      <w:r w:rsidR="0071081E">
        <w:rPr>
          <w:rFonts w:eastAsia="宋体"/>
          <w:b/>
          <w:sz w:val="28"/>
          <w:lang w:val="fr-FR" w:eastAsia="zh-CN"/>
        </w:rPr>
        <w:t xml:space="preserve"> 20</w:t>
      </w:r>
      <w:r>
        <w:rPr>
          <w:rFonts w:eastAsia="宋体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宋体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8166B8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8166B8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 w:rsidRPr="008166B8">
              <w:rPr>
                <w:rFonts w:eastAsia="宋体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8166B8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 w:rsidRPr="008166B8">
              <w:rPr>
                <w:rFonts w:eastAsia="宋体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8166B8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 w:rsidRPr="008166B8">
              <w:rPr>
                <w:rFonts w:eastAsia="宋体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586983BE" w:rsidR="0071081E" w:rsidRPr="00D154F7" w:rsidRDefault="0071081E" w:rsidP="00930E50">
            <w:pPr>
              <w:spacing w:after="0" w:line="240" w:lineRule="auto"/>
              <w:rPr>
                <w:rFonts w:eastAsia="宋体"/>
                <w:b/>
                <w:sz w:val="28"/>
                <w:szCs w:val="28"/>
                <w:lang w:val="en-GB" w:eastAsia="zh-CN"/>
              </w:rPr>
            </w:pPr>
            <w:r w:rsidRPr="008166B8">
              <w:rPr>
                <w:b/>
                <w:sz w:val="28"/>
                <w:szCs w:val="28"/>
              </w:rPr>
              <w:t xml:space="preserve">Description of </w:t>
            </w:r>
            <w:r w:rsidR="008E0CFB" w:rsidRPr="008166B8">
              <w:rPr>
                <w:b/>
                <w:sz w:val="28"/>
                <w:szCs w:val="28"/>
              </w:rPr>
              <w:t>Core</w:t>
            </w:r>
            <w:r w:rsidRPr="008166B8">
              <w:rPr>
                <w:b/>
                <w:sz w:val="28"/>
                <w:szCs w:val="28"/>
              </w:rPr>
              <w:t xml:space="preserve"> Experiment </w:t>
            </w:r>
            <w:r w:rsidR="009224ED" w:rsidRPr="008166B8">
              <w:rPr>
                <w:b/>
                <w:sz w:val="28"/>
                <w:szCs w:val="28"/>
              </w:rPr>
              <w:t>13.</w:t>
            </w:r>
            <w:r w:rsidR="005762E6" w:rsidRPr="008166B8">
              <w:rPr>
                <w:b/>
                <w:sz w:val="28"/>
                <w:szCs w:val="28"/>
              </w:rPr>
              <w:t>2</w:t>
            </w:r>
            <w:r w:rsidR="00F6735A">
              <w:rPr>
                <w:rFonts w:asciiTheme="minorEastAsia" w:eastAsiaTheme="minorEastAsia" w:hAnsiTheme="minorEastAsia" w:hint="eastAsia"/>
                <w:b/>
                <w:sz w:val="28"/>
                <w:szCs w:val="28"/>
                <w:lang w:eastAsia="zh-CN"/>
              </w:rPr>
              <w:t>9</w:t>
            </w:r>
            <w:r w:rsidRPr="008166B8">
              <w:rPr>
                <w:b/>
                <w:sz w:val="28"/>
                <w:szCs w:val="28"/>
              </w:rPr>
              <w:t xml:space="preserve"> for G-PCC: </w:t>
            </w:r>
            <w:r w:rsidR="00F6735A" w:rsidRPr="00D91A7B">
              <w:rPr>
                <w:b/>
                <w:sz w:val="28"/>
                <w:szCs w:val="28"/>
              </w:rPr>
              <w:t xml:space="preserve">Geometry </w:t>
            </w:r>
            <w:r w:rsidR="002761E0">
              <w:rPr>
                <w:b/>
                <w:sz w:val="28"/>
                <w:szCs w:val="28"/>
              </w:rPr>
              <w:t>Quantisation</w:t>
            </w:r>
            <w:r w:rsidR="00F6735A" w:rsidRPr="00D91A7B">
              <w:rPr>
                <w:b/>
                <w:sz w:val="28"/>
                <w:szCs w:val="28"/>
              </w:rPr>
              <w:t xml:space="preserve"> QP control</w:t>
            </w:r>
          </w:p>
        </w:tc>
      </w:tr>
    </w:tbl>
    <w:p w14:paraId="219E4AC7" w14:textId="63A764AF" w:rsidR="0071081E" w:rsidRDefault="0071081E" w:rsidP="0071081E">
      <w:pPr>
        <w:spacing w:after="0" w:line="240" w:lineRule="auto"/>
        <w:rPr>
          <w:rFonts w:eastAsia="宋体"/>
          <w:lang w:eastAsia="zh-CN"/>
        </w:rPr>
      </w:pPr>
    </w:p>
    <w:p w14:paraId="68415629" w14:textId="77777777" w:rsidR="009224ED" w:rsidRPr="008D4625" w:rsidRDefault="009224ED" w:rsidP="009224ED">
      <w:pPr>
        <w:pStyle w:val="1"/>
        <w:rPr>
          <w:lang w:val="en-GB"/>
        </w:rPr>
      </w:pPr>
      <w:r w:rsidRPr="008D4625">
        <w:rPr>
          <w:lang w:val="en-GB"/>
        </w:rPr>
        <w:t>Abstract</w:t>
      </w:r>
    </w:p>
    <w:p w14:paraId="2D9344C1" w14:textId="2D04C5C1" w:rsidR="009224ED" w:rsidRPr="008166B8" w:rsidRDefault="009224ED" w:rsidP="009224ED">
      <w:pPr>
        <w:rPr>
          <w:lang w:val="en-GB"/>
        </w:rPr>
      </w:pPr>
      <w:r w:rsidRPr="008166B8">
        <w:rPr>
          <w:lang w:val="en-GB"/>
        </w:rPr>
        <w:t>In this document</w:t>
      </w:r>
      <w:r w:rsidR="00633E91" w:rsidRPr="008166B8">
        <w:rPr>
          <w:lang w:val="en-GB"/>
        </w:rPr>
        <w:t>,</w:t>
      </w:r>
      <w:r w:rsidRPr="008166B8">
        <w:rPr>
          <w:lang w:val="en-GB"/>
        </w:rPr>
        <w:t xml:space="preserve"> we provide descriptions for the core experiment 13.</w:t>
      </w:r>
      <w:r w:rsidR="005762E6" w:rsidRPr="008166B8">
        <w:rPr>
          <w:lang w:val="en-GB"/>
        </w:rPr>
        <w:t>2</w:t>
      </w:r>
      <w:r w:rsidR="0060262D">
        <w:rPr>
          <w:lang w:val="en-GB"/>
        </w:rPr>
        <w:t>9</w:t>
      </w:r>
      <w:r w:rsidRPr="008166B8">
        <w:rPr>
          <w:lang w:val="en-GB"/>
        </w:rPr>
        <w:t xml:space="preserve"> on </w:t>
      </w:r>
      <w:r w:rsidR="0060262D">
        <w:rPr>
          <w:lang w:val="en-GB"/>
        </w:rPr>
        <w:t xml:space="preserve">geometry </w:t>
      </w:r>
      <w:r w:rsidR="002761E0">
        <w:rPr>
          <w:lang w:val="en-GB"/>
        </w:rPr>
        <w:t>quantisation</w:t>
      </w:r>
      <w:r w:rsidR="0060262D">
        <w:rPr>
          <w:lang w:val="en-GB"/>
        </w:rPr>
        <w:t xml:space="preserve"> QP control</w:t>
      </w:r>
      <w:r w:rsidRPr="008166B8">
        <w:rPr>
          <w:lang w:val="en-GB"/>
        </w:rPr>
        <w:t xml:space="preserve"> f</w:t>
      </w:r>
      <w:r w:rsidR="00EF3B1D" w:rsidRPr="008166B8">
        <w:rPr>
          <w:lang w:val="en-GB"/>
        </w:rPr>
        <w:t>or</w:t>
      </w:r>
      <w:r w:rsidRPr="008166B8">
        <w:rPr>
          <w:lang w:val="en-GB"/>
        </w:rPr>
        <w:t xml:space="preserve"> Geometry-based PCC.</w:t>
      </w:r>
      <w:r w:rsidR="00333CA9" w:rsidRPr="008166B8">
        <w:rPr>
          <w:lang w:val="en-GB"/>
        </w:rPr>
        <w:t xml:space="preserve"> </w:t>
      </w:r>
    </w:p>
    <w:p w14:paraId="73EB7B36" w14:textId="70392773" w:rsidR="00F927FF" w:rsidRDefault="00F927FF" w:rsidP="005573CA">
      <w:pPr>
        <w:rPr>
          <w:lang w:val="en-GB"/>
        </w:rPr>
      </w:pPr>
      <w:r>
        <w:rPr>
          <w:lang w:val="en-GB"/>
        </w:rPr>
        <w:t xml:space="preserve">The in-tree geometry </w:t>
      </w:r>
      <w:r w:rsidR="002761E0">
        <w:rPr>
          <w:lang w:val="en-GB"/>
        </w:rPr>
        <w:t>quantisation</w:t>
      </w:r>
      <w:r>
        <w:rPr>
          <w:lang w:val="en-GB"/>
        </w:rPr>
        <w:t xml:space="preserve"> was adopted in October 2019 [</w:t>
      </w:r>
      <w:r w:rsidR="00007FB3">
        <w:rPr>
          <w:lang w:val="en-GB"/>
        </w:rPr>
        <w:t>6</w:t>
      </w:r>
      <w:r>
        <w:rPr>
          <w:lang w:val="en-GB"/>
        </w:rPr>
        <w:t>][</w:t>
      </w:r>
      <w:r w:rsidR="00007FB3">
        <w:rPr>
          <w:lang w:val="en-GB"/>
        </w:rPr>
        <w:t>7</w:t>
      </w:r>
      <w:r>
        <w:rPr>
          <w:lang w:val="en-GB"/>
        </w:rPr>
        <w:t xml:space="preserve">] and the set of geometry </w:t>
      </w:r>
      <w:r w:rsidR="002761E0">
        <w:rPr>
          <w:lang w:val="en-GB"/>
        </w:rPr>
        <w:t>quantisation</w:t>
      </w:r>
      <w:r>
        <w:rPr>
          <w:lang w:val="en-GB"/>
        </w:rPr>
        <w:t xml:space="preserve"> step size is specified to be the same as that for attribute coding. </w:t>
      </w:r>
    </w:p>
    <w:p w14:paraId="75CB360A" w14:textId="4BA27BF2" w:rsidR="009224ED" w:rsidRPr="008166B8" w:rsidRDefault="00F927FF" w:rsidP="00591D25">
      <w:pPr>
        <w:rPr>
          <w:lang w:val="en-GB"/>
        </w:rPr>
      </w:pPr>
      <w:r>
        <w:rPr>
          <w:lang w:val="en-GB"/>
        </w:rPr>
        <w:t xml:space="preserve">This core experiment is intended to study a new set of geometry </w:t>
      </w:r>
      <w:r w:rsidR="002761E0">
        <w:rPr>
          <w:lang w:val="en-GB"/>
        </w:rPr>
        <w:t>quantisation</w:t>
      </w:r>
      <w:r>
        <w:rPr>
          <w:lang w:val="en-GB"/>
        </w:rPr>
        <w:t xml:space="preserve"> step </w:t>
      </w:r>
      <w:r w:rsidR="00591D25">
        <w:rPr>
          <w:lang w:val="en-GB"/>
        </w:rPr>
        <w:t xml:space="preserve">size </w:t>
      </w:r>
      <w:r>
        <w:rPr>
          <w:lang w:val="en-GB"/>
        </w:rPr>
        <w:t xml:space="preserve">as proposed in [4]. The goal of this experiment is to study the rate distortion behaviour of the new set of </w:t>
      </w:r>
      <w:r w:rsidR="002761E0">
        <w:rPr>
          <w:lang w:val="en-GB"/>
        </w:rPr>
        <w:t>quantisation</w:t>
      </w:r>
      <w:r>
        <w:rPr>
          <w:lang w:val="en-GB"/>
        </w:rPr>
        <w:t xml:space="preserve"> step size and its subjective benefit, as compared to the set of</w:t>
      </w:r>
      <w:r w:rsidR="00591D25">
        <w:rPr>
          <w:lang w:val="en-GB"/>
        </w:rPr>
        <w:t xml:space="preserve"> </w:t>
      </w:r>
      <w:r w:rsidR="002761E0">
        <w:rPr>
          <w:lang w:val="en-GB"/>
        </w:rPr>
        <w:t>quantisation</w:t>
      </w:r>
      <w:r>
        <w:rPr>
          <w:lang w:val="en-GB"/>
        </w:rPr>
        <w:t xml:space="preserve"> step size </w:t>
      </w:r>
      <w:r w:rsidR="00591D25">
        <w:rPr>
          <w:lang w:val="en-GB"/>
        </w:rPr>
        <w:t xml:space="preserve">defined </w:t>
      </w:r>
      <w:r>
        <w:rPr>
          <w:lang w:val="en-GB"/>
        </w:rPr>
        <w:t>in [5][6]</w:t>
      </w:r>
      <w:r w:rsidR="002450FD">
        <w:rPr>
          <w:lang w:val="en-GB"/>
        </w:rPr>
        <w:t xml:space="preserve">. Furthermore, the rate distortion behaviour of the geometry </w:t>
      </w:r>
      <w:r w:rsidR="002761E0">
        <w:rPr>
          <w:lang w:val="en-GB"/>
        </w:rPr>
        <w:t>quantisation</w:t>
      </w:r>
      <w:r w:rsidR="002450FD">
        <w:rPr>
          <w:lang w:val="en-GB"/>
        </w:rPr>
        <w:t xml:space="preserve"> for points coded in IDCM mode as proposed in [5] is also studied in this core experiment.</w:t>
      </w:r>
    </w:p>
    <w:p w14:paraId="0FE512C0" w14:textId="502B69E4" w:rsidR="009224ED" w:rsidRPr="008166B8" w:rsidRDefault="009224ED" w:rsidP="009224ED">
      <w:pPr>
        <w:pStyle w:val="1"/>
        <w:rPr>
          <w:lang w:val="en-GB"/>
        </w:rPr>
      </w:pPr>
      <w:r w:rsidRPr="008166B8">
        <w:rPr>
          <w:lang w:val="en-GB"/>
        </w:rPr>
        <w:t>CE 13.</w:t>
      </w:r>
      <w:r w:rsidR="005762E6" w:rsidRPr="008166B8">
        <w:rPr>
          <w:lang w:val="en-GB"/>
        </w:rPr>
        <w:t>2</w:t>
      </w:r>
      <w:r w:rsidR="00485171">
        <w:rPr>
          <w:lang w:val="en-GB"/>
        </w:rPr>
        <w:t xml:space="preserve"> Geometry </w:t>
      </w:r>
      <w:r w:rsidR="002761E0">
        <w:rPr>
          <w:lang w:val="en-GB"/>
        </w:rPr>
        <w:t>Quantisation</w:t>
      </w:r>
      <w:r w:rsidR="00485171">
        <w:rPr>
          <w:lang w:val="en-GB"/>
        </w:rPr>
        <w:t xml:space="preserve"> QP Control</w:t>
      </w:r>
    </w:p>
    <w:p w14:paraId="620CFFA1" w14:textId="77777777" w:rsidR="009224ED" w:rsidRPr="008166B8" w:rsidRDefault="009224ED" w:rsidP="009224ED">
      <w:pPr>
        <w:pStyle w:val="20"/>
        <w:rPr>
          <w:lang w:val="en-GB"/>
        </w:rPr>
      </w:pPr>
      <w:r w:rsidRPr="008166B8">
        <w:rPr>
          <w:lang w:val="en-GB"/>
        </w:rPr>
        <w:t>Mandates</w:t>
      </w:r>
    </w:p>
    <w:p w14:paraId="7D31772F" w14:textId="4B115AEE" w:rsidR="00591D25" w:rsidRDefault="00591D25" w:rsidP="00591D25">
      <w:pPr>
        <w:pStyle w:val="ae"/>
        <w:numPr>
          <w:ilvl w:val="0"/>
          <w:numId w:val="31"/>
        </w:numPr>
        <w:rPr>
          <w:lang w:val="en-GB"/>
        </w:rPr>
      </w:pPr>
      <w:r>
        <w:rPr>
          <w:lang w:val="en-GB"/>
        </w:rPr>
        <w:t xml:space="preserve">Study rate distortion behaviour of geometry </w:t>
      </w:r>
      <w:r w:rsidR="002761E0">
        <w:rPr>
          <w:lang w:val="en-GB"/>
        </w:rPr>
        <w:t>quantisation</w:t>
      </w:r>
      <w:r>
        <w:rPr>
          <w:lang w:val="en-GB"/>
        </w:rPr>
        <w:t xml:space="preserve"> at Octree-level</w:t>
      </w:r>
    </w:p>
    <w:p w14:paraId="4A800CA9" w14:textId="0551D1DE" w:rsidR="009224ED" w:rsidRDefault="00591D25" w:rsidP="009224ED">
      <w:pPr>
        <w:pStyle w:val="ae"/>
        <w:numPr>
          <w:ilvl w:val="0"/>
          <w:numId w:val="31"/>
        </w:numPr>
        <w:rPr>
          <w:lang w:val="en-GB"/>
        </w:rPr>
      </w:pPr>
      <w:r>
        <w:rPr>
          <w:lang w:val="en-GB"/>
        </w:rPr>
        <w:t>Evaluate the impact of different QP to the subjective quality of reconstructed point cloud</w:t>
      </w:r>
      <w:r w:rsidR="009224ED" w:rsidRPr="008166B8">
        <w:rPr>
          <w:lang w:val="en-GB"/>
        </w:rPr>
        <w:t xml:space="preserve"> </w:t>
      </w:r>
    </w:p>
    <w:p w14:paraId="2EECF47C" w14:textId="17D49D74" w:rsidR="002450FD" w:rsidRPr="008166B8" w:rsidRDefault="002450FD" w:rsidP="009224ED">
      <w:pPr>
        <w:pStyle w:val="ae"/>
        <w:numPr>
          <w:ilvl w:val="0"/>
          <w:numId w:val="31"/>
        </w:numPr>
        <w:rPr>
          <w:lang w:val="en-GB"/>
        </w:rPr>
      </w:pPr>
      <w:r>
        <w:rPr>
          <w:rFonts w:hint="eastAsia"/>
          <w:lang w:val="en-GB"/>
        </w:rPr>
        <w:t>S</w:t>
      </w:r>
      <w:r>
        <w:rPr>
          <w:lang w:val="en-GB"/>
        </w:rPr>
        <w:t xml:space="preserve">tudy rate distortion behaviour of geometry </w:t>
      </w:r>
      <w:r w:rsidR="002761E0">
        <w:rPr>
          <w:lang w:val="en-GB"/>
        </w:rPr>
        <w:t>quantisation</w:t>
      </w:r>
      <w:r>
        <w:rPr>
          <w:lang w:val="en-GB"/>
        </w:rPr>
        <w:t xml:space="preserve"> for points coded in IDCM mode</w:t>
      </w:r>
    </w:p>
    <w:p w14:paraId="0A05FE32" w14:textId="6E91B780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lang w:val="en-GB"/>
        </w:rPr>
      </w:pPr>
      <w:r>
        <w:rPr>
          <w:lang w:val="en-GB"/>
        </w:rPr>
        <w:t>R</w:t>
      </w:r>
      <w:r w:rsidRPr="008D4625">
        <w:rPr>
          <w:lang w:val="en-GB"/>
        </w:rPr>
        <w:t xml:space="preserve">elated changes to the </w:t>
      </w:r>
      <w:r>
        <w:rPr>
          <w:lang w:val="en-GB"/>
        </w:rPr>
        <w:t xml:space="preserve">G-PCC </w:t>
      </w:r>
      <w:bookmarkStart w:id="0" w:name="_Hlk14251725"/>
      <w:r w:rsidR="002E364C">
        <w:rPr>
          <w:lang w:val="en-GB"/>
        </w:rPr>
        <w:t>Specification Text</w:t>
      </w:r>
      <w:r w:rsidRPr="00D154F7">
        <w:rPr>
          <w:lang w:val="en-GB"/>
        </w:rPr>
        <w:t xml:space="preserve"> </w:t>
      </w:r>
      <w:bookmarkEnd w:id="0"/>
      <w:r w:rsidRPr="00D154F7">
        <w:rPr>
          <w:lang w:val="en-GB"/>
        </w:rPr>
        <w:t>[2] shall be</w:t>
      </w:r>
      <w:r w:rsidRPr="008D4625">
        <w:rPr>
          <w:lang w:val="en-GB"/>
        </w:rPr>
        <w:t xml:space="preserve"> reported.</w:t>
      </w:r>
    </w:p>
    <w:p w14:paraId="22F5717F" w14:textId="77777777" w:rsidR="009224ED" w:rsidRPr="008D4625" w:rsidRDefault="009224ED" w:rsidP="009224ED">
      <w:pPr>
        <w:pStyle w:val="20"/>
        <w:rPr>
          <w:lang w:val="en-GB"/>
        </w:rPr>
      </w:pPr>
      <w:r w:rsidRPr="008D4625">
        <w:rPr>
          <w:lang w:val="en-GB"/>
        </w:rPr>
        <w:t>Participants, description of tools, and implementation notes</w:t>
      </w:r>
    </w:p>
    <w:p w14:paraId="3D0FEADB" w14:textId="77777777" w:rsidR="009224ED" w:rsidRPr="008D4625" w:rsidRDefault="009224ED" w:rsidP="009224ED">
      <w:pPr>
        <w:rPr>
          <w:lang w:val="en-GB"/>
        </w:rPr>
      </w:pPr>
      <w:r w:rsidRPr="008D4625">
        <w:rPr>
          <w:lang w:val="en-GB"/>
        </w:rPr>
        <w:t xml:space="preserve">The following people are participating in this CE. Their specific roles are detailed in the next section. Proposals are based on the input contributions </w:t>
      </w:r>
    </w:p>
    <w:p w14:paraId="74D8FB54" w14:textId="3F622385" w:rsidR="009224ED" w:rsidRPr="002450FD" w:rsidRDefault="00591D25" w:rsidP="00667F1A">
      <w:pPr>
        <w:pStyle w:val="ae"/>
        <w:numPr>
          <w:ilvl w:val="0"/>
          <w:numId w:val="30"/>
        </w:numPr>
        <w:rPr>
          <w:lang w:val="en-GB"/>
        </w:rPr>
      </w:pPr>
      <w:r w:rsidRPr="00E3249E">
        <w:rPr>
          <w:lang w:val="en-GB"/>
        </w:rPr>
        <w:t>m5</w:t>
      </w:r>
      <w:r>
        <w:rPr>
          <w:lang w:val="en-GB"/>
        </w:rPr>
        <w:t>2522</w:t>
      </w:r>
      <w:r w:rsidR="00FD651F" w:rsidRPr="0085246A">
        <w:rPr>
          <w:lang w:val="en-GB"/>
        </w:rPr>
        <w:t xml:space="preserve">, </w:t>
      </w:r>
      <w:r w:rsidRPr="00591D25">
        <w:rPr>
          <w:i/>
          <w:lang w:val="en-GB"/>
        </w:rPr>
        <w:t>G-PCC: Integer step sizes for in-tree geometry quantisation</w:t>
      </w:r>
    </w:p>
    <w:p w14:paraId="32F9739E" w14:textId="640CDE8F" w:rsidR="002450FD" w:rsidRPr="00667F1A" w:rsidRDefault="002450FD" w:rsidP="00667F1A">
      <w:pPr>
        <w:pStyle w:val="ae"/>
        <w:numPr>
          <w:ilvl w:val="0"/>
          <w:numId w:val="30"/>
        </w:numPr>
        <w:rPr>
          <w:lang w:val="en-GB"/>
        </w:rPr>
      </w:pPr>
      <w:r w:rsidRPr="00E3249E">
        <w:rPr>
          <w:lang w:val="en-GB"/>
        </w:rPr>
        <w:t>m5</w:t>
      </w:r>
      <w:r>
        <w:rPr>
          <w:lang w:val="en-GB"/>
        </w:rPr>
        <w:t>252</w:t>
      </w:r>
      <w:r>
        <w:rPr>
          <w:lang w:val="en-GB"/>
        </w:rPr>
        <w:t>3</w:t>
      </w:r>
      <w:r w:rsidRPr="0085246A">
        <w:rPr>
          <w:lang w:val="en-GB"/>
        </w:rPr>
        <w:t xml:space="preserve">, </w:t>
      </w:r>
      <w:r w:rsidRPr="00591D25">
        <w:rPr>
          <w:i/>
          <w:lang w:val="en-GB"/>
        </w:rPr>
        <w:t xml:space="preserve">G-PCC: </w:t>
      </w:r>
      <w:r>
        <w:rPr>
          <w:i/>
          <w:lang w:val="en-GB"/>
        </w:rPr>
        <w:t>An IDCM specific QP for in-tree geometry quantisation</w:t>
      </w:r>
    </w:p>
    <w:p w14:paraId="63F63ED5" w14:textId="77777777" w:rsidR="00667F1A" w:rsidRDefault="00667F1A" w:rsidP="006D4A12">
      <w:pPr>
        <w:pStyle w:val="ae"/>
        <w:rPr>
          <w:lang w:val="en-GB"/>
        </w:rPr>
      </w:pPr>
    </w:p>
    <w:p w14:paraId="432EB981" w14:textId="77777777" w:rsidR="009224ED" w:rsidRPr="008D4625" w:rsidRDefault="009224ED" w:rsidP="009224ED">
      <w:pPr>
        <w:rPr>
          <w:lang w:val="en-GB"/>
        </w:rPr>
      </w:pPr>
      <w:r w:rsidRPr="008D4625">
        <w:rPr>
          <w:lang w:val="en-GB"/>
        </w:rPr>
        <w:t>Proponents and cross checkers are</w:t>
      </w:r>
    </w:p>
    <w:tbl>
      <w:tblPr>
        <w:tblpPr w:leftFromText="180" w:rightFromText="180" w:vertAnchor="text" w:horzAnchor="page" w:tblpX="1548" w:tblpY="91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0"/>
        <w:gridCol w:w="1705"/>
        <w:gridCol w:w="3425"/>
        <w:gridCol w:w="1477"/>
      </w:tblGrid>
      <w:tr w:rsidR="009224ED" w:rsidRPr="008D4625" w14:paraId="475C7162" w14:textId="77777777" w:rsidTr="00700CB6">
        <w:trPr>
          <w:cantSplit/>
          <w:trHeight w:val="335"/>
          <w:tblHeader/>
        </w:trPr>
        <w:tc>
          <w:tcPr>
            <w:tcW w:w="3150" w:type="dxa"/>
            <w:shd w:val="clear" w:color="auto" w:fill="D9D9D9" w:themeFill="background1" w:themeFillShade="D9"/>
          </w:tcPr>
          <w:p w14:paraId="728F6A98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lastRenderedPageBreak/>
              <w:t>Name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02F9362B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Company</w:t>
            </w:r>
          </w:p>
        </w:tc>
        <w:tc>
          <w:tcPr>
            <w:tcW w:w="3425" w:type="dxa"/>
            <w:shd w:val="clear" w:color="auto" w:fill="D9D9D9" w:themeFill="background1" w:themeFillShade="D9"/>
          </w:tcPr>
          <w:p w14:paraId="2D9FC74B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E-mail address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65AD6083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Type</w:t>
            </w:r>
          </w:p>
        </w:tc>
      </w:tr>
      <w:tr w:rsidR="009224ED" w:rsidRPr="008D4625" w14:paraId="30CFF56E" w14:textId="77777777" w:rsidTr="00700CB6">
        <w:trPr>
          <w:cantSplit/>
          <w:trHeight w:val="68"/>
        </w:trPr>
        <w:tc>
          <w:tcPr>
            <w:tcW w:w="3150" w:type="dxa"/>
          </w:tcPr>
          <w:p w14:paraId="407696BE" w14:textId="6CFB36F6" w:rsidR="009224ED" w:rsidRPr="008D4625" w:rsidRDefault="00C230C3" w:rsidP="00700CB6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David Flynn</w:t>
            </w:r>
          </w:p>
        </w:tc>
        <w:tc>
          <w:tcPr>
            <w:tcW w:w="1705" w:type="dxa"/>
          </w:tcPr>
          <w:p w14:paraId="2081BE35" w14:textId="1B46526B" w:rsidR="009224ED" w:rsidRPr="008D4625" w:rsidRDefault="00C230C3" w:rsidP="00700CB6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Apple</w:t>
            </w:r>
          </w:p>
        </w:tc>
        <w:tc>
          <w:tcPr>
            <w:tcW w:w="3425" w:type="dxa"/>
          </w:tcPr>
          <w:p w14:paraId="2C6AC029" w14:textId="7A0FD22D" w:rsidR="009224ED" w:rsidRPr="008D4625" w:rsidRDefault="00C230C3" w:rsidP="00700CB6">
            <w:pPr>
              <w:spacing w:after="0"/>
              <w:rPr>
                <w:lang w:val="en-GB"/>
              </w:rPr>
            </w:pPr>
            <w:r w:rsidRPr="00F93805">
              <w:rPr>
                <w:rStyle w:val="ac"/>
              </w:rPr>
              <w:t>davidflynn@apple.com</w:t>
            </w:r>
          </w:p>
        </w:tc>
        <w:tc>
          <w:tcPr>
            <w:tcW w:w="1477" w:type="dxa"/>
          </w:tcPr>
          <w:p w14:paraId="165AB49F" w14:textId="2C0F0ABB" w:rsidR="009224ED" w:rsidRPr="008D4625" w:rsidRDefault="009224ED" w:rsidP="00700CB6">
            <w:pPr>
              <w:spacing w:after="0"/>
              <w:rPr>
                <w:rFonts w:eastAsia="Malgun Gothic"/>
                <w:lang w:val="en-GB" w:eastAsia="ko-KR"/>
              </w:rPr>
            </w:pPr>
            <w:r w:rsidRPr="008D4625">
              <w:rPr>
                <w:rFonts w:eastAsia="Malgun Gothic"/>
                <w:lang w:val="en-GB" w:eastAsia="ko-KR"/>
              </w:rPr>
              <w:t>Proponent</w:t>
            </w:r>
            <w:r w:rsidRPr="001F414C">
              <w:rPr>
                <w:lang w:val="en-GB"/>
              </w:rPr>
              <w:t xml:space="preserve"> m</w:t>
            </w:r>
            <w:r w:rsidR="00667F1A">
              <w:rPr>
                <w:lang w:val="en-GB"/>
              </w:rPr>
              <w:t>5</w:t>
            </w:r>
            <w:r w:rsidR="00C230C3">
              <w:rPr>
                <w:lang w:val="en-GB"/>
              </w:rPr>
              <w:t>2522</w:t>
            </w:r>
            <w:r w:rsidR="002450FD">
              <w:rPr>
                <w:lang w:val="en-GB"/>
              </w:rPr>
              <w:t>, m52523</w:t>
            </w:r>
          </w:p>
        </w:tc>
      </w:tr>
      <w:tr w:rsidR="00003269" w:rsidRPr="008D4625" w14:paraId="156313C2" w14:textId="77777777" w:rsidTr="00700CB6">
        <w:trPr>
          <w:cantSplit/>
          <w:trHeight w:val="68"/>
        </w:trPr>
        <w:tc>
          <w:tcPr>
            <w:tcW w:w="3150" w:type="dxa"/>
          </w:tcPr>
          <w:p w14:paraId="3507433F" w14:textId="091A9200" w:rsidR="00003269" w:rsidRPr="00FA5285" w:rsidRDefault="00003269" w:rsidP="00003269">
            <w:pPr>
              <w:spacing w:after="0"/>
              <w:rPr>
                <w:highlight w:val="yellow"/>
                <w:lang w:val="en-GB"/>
              </w:rPr>
            </w:pPr>
            <w:r>
              <w:rPr>
                <w:lang w:val="en-GB"/>
              </w:rPr>
              <w:t xml:space="preserve">Wen Gao  </w:t>
            </w:r>
          </w:p>
        </w:tc>
        <w:tc>
          <w:tcPr>
            <w:tcW w:w="1705" w:type="dxa"/>
          </w:tcPr>
          <w:p w14:paraId="72AB89E5" w14:textId="053F289D" w:rsidR="00003269" w:rsidRPr="00FA5285" w:rsidRDefault="00003269" w:rsidP="00003269">
            <w:pPr>
              <w:spacing w:after="0"/>
              <w:rPr>
                <w:highlight w:val="yellow"/>
                <w:lang w:val="en-GB"/>
              </w:rPr>
            </w:pPr>
            <w:r>
              <w:rPr>
                <w:lang w:val="en-GB"/>
              </w:rPr>
              <w:t>Tencent</w:t>
            </w:r>
          </w:p>
        </w:tc>
        <w:tc>
          <w:tcPr>
            <w:tcW w:w="3425" w:type="dxa"/>
          </w:tcPr>
          <w:p w14:paraId="39D6175E" w14:textId="6325B493" w:rsidR="00003269" w:rsidRPr="009B78E8" w:rsidRDefault="0059319B" w:rsidP="00003269">
            <w:pPr>
              <w:spacing w:after="0"/>
              <w:rPr>
                <w:highlight w:val="yellow"/>
                <w:lang w:val="en-GB"/>
              </w:rPr>
            </w:pPr>
            <w:hyperlink r:id="rId11" w:history="1">
              <w:r w:rsidR="00003269">
                <w:rPr>
                  <w:rStyle w:val="ac"/>
                </w:rPr>
                <w:t>wengao@tencent.com</w:t>
              </w:r>
            </w:hyperlink>
          </w:p>
        </w:tc>
        <w:tc>
          <w:tcPr>
            <w:tcW w:w="1477" w:type="dxa"/>
          </w:tcPr>
          <w:p w14:paraId="654B50AE" w14:textId="31B1D126" w:rsidR="008166B8" w:rsidRPr="00FA5285" w:rsidRDefault="008166B8" w:rsidP="00003269">
            <w:pPr>
              <w:spacing w:after="0"/>
              <w:rPr>
                <w:rFonts w:eastAsia="Malgun Gothic"/>
                <w:highlight w:val="yellow"/>
                <w:lang w:val="en-GB" w:eastAsia="ko-KR"/>
              </w:rPr>
            </w:pPr>
            <w:r>
              <w:rPr>
                <w:lang w:val="fr-FR"/>
              </w:rPr>
              <w:t xml:space="preserve">Crosschecker </w:t>
            </w:r>
          </w:p>
        </w:tc>
      </w:tr>
      <w:tr w:rsidR="008166B8" w:rsidRPr="008166B8" w14:paraId="4B098C5D" w14:textId="77777777" w:rsidTr="00700CB6">
        <w:trPr>
          <w:cantSplit/>
          <w:trHeight w:val="68"/>
        </w:trPr>
        <w:tc>
          <w:tcPr>
            <w:tcW w:w="3150" w:type="dxa"/>
          </w:tcPr>
          <w:p w14:paraId="3168BD51" w14:textId="00C94A71" w:rsidR="008166B8" w:rsidRPr="008166B8" w:rsidRDefault="008166B8" w:rsidP="008166B8">
            <w:pPr>
              <w:spacing w:after="0"/>
              <w:jc w:val="left"/>
              <w:rPr>
                <w:lang w:val="en-GB"/>
              </w:rPr>
            </w:pPr>
          </w:p>
        </w:tc>
        <w:tc>
          <w:tcPr>
            <w:tcW w:w="1705" w:type="dxa"/>
          </w:tcPr>
          <w:p w14:paraId="1A339E2D" w14:textId="0AEEA8AA" w:rsidR="008166B8" w:rsidRPr="008166B8" w:rsidRDefault="008166B8" w:rsidP="008166B8">
            <w:pPr>
              <w:spacing w:after="0"/>
              <w:rPr>
                <w:lang w:val="en-GB"/>
              </w:rPr>
            </w:pPr>
          </w:p>
        </w:tc>
        <w:tc>
          <w:tcPr>
            <w:tcW w:w="3425" w:type="dxa"/>
          </w:tcPr>
          <w:p w14:paraId="4947DE58" w14:textId="05C04B0A" w:rsidR="008166B8" w:rsidRPr="008166B8" w:rsidRDefault="008166B8" w:rsidP="008166B8">
            <w:pPr>
              <w:spacing w:after="0"/>
              <w:rPr>
                <w:rFonts w:eastAsia="Malgun Gothic"/>
                <w:lang w:val="en-GB" w:eastAsia="ko-KR"/>
              </w:rPr>
            </w:pPr>
          </w:p>
        </w:tc>
        <w:tc>
          <w:tcPr>
            <w:tcW w:w="1477" w:type="dxa"/>
          </w:tcPr>
          <w:p w14:paraId="08EEC508" w14:textId="377126EA" w:rsidR="008166B8" w:rsidRPr="008166B8" w:rsidRDefault="008166B8" w:rsidP="008166B8">
            <w:pPr>
              <w:spacing w:after="0"/>
              <w:rPr>
                <w:rFonts w:eastAsia="Malgun Gothic"/>
                <w:lang w:val="en-GB" w:eastAsia="ko-KR"/>
              </w:rPr>
            </w:pPr>
          </w:p>
        </w:tc>
      </w:tr>
    </w:tbl>
    <w:p w14:paraId="6D5B7C10" w14:textId="77777777" w:rsidR="009224ED" w:rsidRPr="008D4625" w:rsidRDefault="009224ED" w:rsidP="009224ED">
      <w:pPr>
        <w:pStyle w:val="ListParagraph1"/>
        <w:spacing w:before="120" w:after="120"/>
        <w:ind w:left="360"/>
        <w:rPr>
          <w:lang w:val="en-GB"/>
        </w:rPr>
      </w:pPr>
    </w:p>
    <w:p w14:paraId="69B358FD" w14:textId="77777777" w:rsidR="009224ED" w:rsidRPr="008D4625" w:rsidRDefault="009224ED" w:rsidP="009224ED">
      <w:pPr>
        <w:pStyle w:val="20"/>
        <w:rPr>
          <w:lang w:val="en-GB"/>
        </w:rPr>
      </w:pPr>
      <w:r w:rsidRPr="008D4625">
        <w:rPr>
          <w:lang w:val="en-GB"/>
        </w:rPr>
        <w:t>Information on proposed tools</w:t>
      </w:r>
    </w:p>
    <w:p w14:paraId="2069C066" w14:textId="404FBF4F" w:rsidR="009224ED" w:rsidRPr="008D4625" w:rsidRDefault="00591D25" w:rsidP="009224ED">
      <w:pPr>
        <w:pStyle w:val="30"/>
        <w:rPr>
          <w:lang w:val="en-GB"/>
        </w:rPr>
      </w:pPr>
      <w:r w:rsidRPr="00591D25">
        <w:rPr>
          <w:lang w:val="en-GB"/>
        </w:rPr>
        <w:t xml:space="preserve">Integer step sizes for in-tree geometry </w:t>
      </w:r>
      <w:r w:rsidR="002761E0">
        <w:rPr>
          <w:lang w:val="en-GB"/>
        </w:rPr>
        <w:t>quantisation</w:t>
      </w:r>
      <w:r w:rsidR="006D4A12" w:rsidRPr="008D4625">
        <w:rPr>
          <w:lang w:val="en-GB"/>
        </w:rPr>
        <w:t xml:space="preserve"> </w:t>
      </w:r>
      <w:r w:rsidR="009224ED" w:rsidRPr="008D4625">
        <w:rPr>
          <w:lang w:val="en-GB"/>
        </w:rPr>
        <w:t>from m</w:t>
      </w:r>
      <w:r w:rsidR="00FD651F">
        <w:rPr>
          <w:lang w:val="en-GB"/>
        </w:rPr>
        <w:t>5</w:t>
      </w:r>
      <w:r w:rsidR="002450FD">
        <w:rPr>
          <w:lang w:val="en-GB"/>
        </w:rPr>
        <w:t>2522</w:t>
      </w:r>
      <w:r w:rsidR="002F75B3">
        <w:rPr>
          <w:lang w:val="en-GB"/>
        </w:rPr>
        <w:t xml:space="preserve"> [4]</w:t>
      </w:r>
      <w:r w:rsidR="00FD651F">
        <w:rPr>
          <w:lang w:val="en-GB"/>
        </w:rPr>
        <w:t xml:space="preserve"> </w:t>
      </w:r>
    </w:p>
    <w:p w14:paraId="13FD4123" w14:textId="7AABBFE4" w:rsidR="006D4A12" w:rsidRDefault="00591D25" w:rsidP="001732A4">
      <w:pPr>
        <w:pStyle w:val="ListParagraph1"/>
        <w:spacing w:before="120" w:after="120"/>
        <w:ind w:left="0"/>
        <w:rPr>
          <w:lang w:val="en-GB"/>
        </w:rPr>
      </w:pPr>
      <w:r w:rsidRPr="00591D25">
        <w:rPr>
          <w:lang w:val="en-GB"/>
        </w:rPr>
        <w:t>In-tree geometry scaling [</w:t>
      </w:r>
      <w:r w:rsidR="002450FD">
        <w:rPr>
          <w:lang w:val="en-GB"/>
        </w:rPr>
        <w:t>6</w:t>
      </w:r>
      <w:r w:rsidRPr="00591D25">
        <w:rPr>
          <w:lang w:val="en-GB"/>
        </w:rPr>
        <w:t>] provides a means to quanti</w:t>
      </w:r>
      <w:r>
        <w:rPr>
          <w:lang w:val="en-GB"/>
        </w:rPr>
        <w:t>z</w:t>
      </w:r>
      <w:r w:rsidRPr="00591D25">
        <w:rPr>
          <w:lang w:val="en-GB"/>
        </w:rPr>
        <w:t>e (encoder) and scale (decoder) geometry</w:t>
      </w:r>
      <w:r>
        <w:rPr>
          <w:lang w:val="en-GB"/>
        </w:rPr>
        <w:t xml:space="preserve"> </w:t>
      </w:r>
      <w:r w:rsidRPr="00591D25">
        <w:rPr>
          <w:lang w:val="en-GB"/>
        </w:rPr>
        <w:t>positions in a non-uniform manner, even while the coding tree is being constructed. In the</w:t>
      </w:r>
      <w:r>
        <w:rPr>
          <w:lang w:val="en-GB"/>
        </w:rPr>
        <w:t xml:space="preserve"> </w:t>
      </w:r>
      <w:r w:rsidRPr="00591D25">
        <w:rPr>
          <w:lang w:val="en-GB"/>
        </w:rPr>
        <w:t>current</w:t>
      </w:r>
      <w:r>
        <w:rPr>
          <w:lang w:val="en-GB"/>
        </w:rPr>
        <w:t xml:space="preserve"> </w:t>
      </w:r>
      <w:r w:rsidRPr="00591D25">
        <w:rPr>
          <w:lang w:val="en-GB"/>
        </w:rPr>
        <w:t>draft</w:t>
      </w:r>
      <w:r>
        <w:rPr>
          <w:lang w:val="en-GB"/>
        </w:rPr>
        <w:t xml:space="preserve"> </w:t>
      </w:r>
      <w:r w:rsidRPr="00591D25">
        <w:rPr>
          <w:lang w:val="en-GB"/>
        </w:rPr>
        <w:t xml:space="preserve">text scaling is defined to use a </w:t>
      </w:r>
      <w:r w:rsidR="002761E0">
        <w:rPr>
          <w:lang w:val="en-GB"/>
        </w:rPr>
        <w:t>quantisation</w:t>
      </w:r>
      <w:r w:rsidRPr="00591D25">
        <w:rPr>
          <w:lang w:val="en-GB"/>
        </w:rPr>
        <w:t xml:space="preserve"> step size as an exponential function of a quantisation parameter,</w:t>
      </w:r>
      <w:r>
        <w:rPr>
          <w:lang w:val="en-GB"/>
        </w:rPr>
        <w:t xml:space="preserve"> </w:t>
      </w:r>
      <w:r w:rsidRPr="00591D25">
        <w:rPr>
          <w:lang w:val="en-GB"/>
        </w:rPr>
        <w:t xml:space="preserve">similar </w:t>
      </w:r>
      <w:r>
        <w:rPr>
          <w:lang w:val="en-GB"/>
        </w:rPr>
        <w:t>as</w:t>
      </w:r>
      <w:r w:rsidRPr="00591D25">
        <w:rPr>
          <w:lang w:val="en-GB"/>
        </w:rPr>
        <w:t xml:space="preserve"> attribute coding.</w:t>
      </w:r>
      <w:r>
        <w:rPr>
          <w:lang w:val="en-GB"/>
        </w:rPr>
        <w:t xml:space="preserve"> </w:t>
      </w:r>
      <w:r w:rsidRPr="00591D25">
        <w:rPr>
          <w:lang w:val="en-GB"/>
        </w:rPr>
        <w:t>The derivation results in fixed-point step sizes that, when used to reconstruct integer point positions, result</w:t>
      </w:r>
      <w:r>
        <w:rPr>
          <w:lang w:val="en-GB"/>
        </w:rPr>
        <w:t xml:space="preserve"> </w:t>
      </w:r>
      <w:r w:rsidRPr="00591D25">
        <w:rPr>
          <w:lang w:val="en-GB"/>
        </w:rPr>
        <w:t>in banding of dense objects without further post processing</w:t>
      </w:r>
      <w:r w:rsidR="0031119C">
        <w:rPr>
          <w:lang w:val="en-GB"/>
        </w:rPr>
        <w:t xml:space="preserve">. </w:t>
      </w:r>
    </w:p>
    <w:p w14:paraId="7D18A4E6" w14:textId="77777777" w:rsidR="006D4A12" w:rsidRDefault="006D4A12" w:rsidP="001732A4">
      <w:pPr>
        <w:pStyle w:val="ListParagraph1"/>
        <w:spacing w:before="120" w:after="120"/>
        <w:ind w:left="0"/>
        <w:rPr>
          <w:lang w:val="en-GB"/>
        </w:rPr>
      </w:pPr>
    </w:p>
    <w:p w14:paraId="672E264D" w14:textId="1871A609" w:rsidR="00473034" w:rsidRDefault="00473034" w:rsidP="001732A4">
      <w:pPr>
        <w:pStyle w:val="ListParagraph1"/>
        <w:spacing w:before="120" w:after="120"/>
        <w:ind w:left="0"/>
        <w:rPr>
          <w:lang w:val="en-GB"/>
        </w:rPr>
      </w:pPr>
      <w:r w:rsidRPr="00473034">
        <w:rPr>
          <w:lang w:val="en-GB"/>
        </w:rPr>
        <w:t>It is proposed</w:t>
      </w:r>
      <w:r>
        <w:rPr>
          <w:lang w:val="en-GB"/>
        </w:rPr>
        <w:t xml:space="preserve"> in [4]</w:t>
      </w:r>
      <w:r w:rsidRPr="00473034">
        <w:rPr>
          <w:lang w:val="en-GB"/>
        </w:rPr>
        <w:t xml:space="preserve"> to replace the </w:t>
      </w:r>
      <w:r w:rsidR="002761E0">
        <w:rPr>
          <w:lang w:val="en-GB"/>
        </w:rPr>
        <w:t>quantisation</w:t>
      </w:r>
      <w:r w:rsidRPr="00473034">
        <w:rPr>
          <w:lang w:val="en-GB"/>
        </w:rPr>
        <w:t xml:space="preserve"> step size derivation function with the following:</w:t>
      </w:r>
      <w:r w:rsidRPr="00473034">
        <w:rPr>
          <w:lang w:val="en-GB"/>
        </w:rPr>
        <w:br/>
      </w:r>
      <w:r>
        <w:rPr>
          <w:noProof/>
        </w:rPr>
        <w:drawing>
          <wp:inline distT="0" distB="0" distL="0" distR="0" wp14:anchorId="485BE703" wp14:editId="7A6BA1CB">
            <wp:extent cx="3728720" cy="438150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94065" cy="45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8D4C" w14:textId="35E60CFB" w:rsidR="002450FD" w:rsidRDefault="00473034" w:rsidP="001732A4">
      <w:pPr>
        <w:pStyle w:val="ListParagraph1"/>
        <w:spacing w:before="120" w:after="120"/>
        <w:ind w:left="0"/>
        <w:rPr>
          <w:lang w:val="en-GB"/>
        </w:rPr>
      </w:pPr>
      <w:r w:rsidRPr="00473034">
        <w:rPr>
          <w:lang w:val="en-GB"/>
        </w:rPr>
        <w:t>This results in the step size series of 1, 1.25, 1.5, 1.75, 2, 2.5, 3, 3.5, 4, 5, 6, 7, 8, 10, 12, 14, 16, 20, 24, 28,</w:t>
      </w:r>
      <w:r>
        <w:rPr>
          <w:lang w:val="en-GB"/>
        </w:rPr>
        <w:t xml:space="preserve"> </w:t>
      </w:r>
      <w:r w:rsidRPr="00473034">
        <w:rPr>
          <w:lang w:val="en-GB"/>
        </w:rPr>
        <w:t>32, 40, 48, 56, 64, 80, 96, 112, 128, 160, 192, 224, 256, 320, 384, 448, 512, 640, 768, 896, 1024, ….</w:t>
      </w:r>
      <w:r>
        <w:rPr>
          <w:lang w:val="en-GB"/>
        </w:rPr>
        <w:t xml:space="preserve"> </w:t>
      </w:r>
      <w:r w:rsidRPr="00473034">
        <w:rPr>
          <w:lang w:val="en-GB"/>
        </w:rPr>
        <w:t xml:space="preserve">Only QPs 1, 2, 3, 5, and 7 result in non-integer </w:t>
      </w:r>
      <w:r>
        <w:rPr>
          <w:lang w:val="en-GB"/>
        </w:rPr>
        <w:t>step size</w:t>
      </w:r>
      <w:r w:rsidRPr="00473034">
        <w:rPr>
          <w:lang w:val="en-GB"/>
        </w:rPr>
        <w:t>. This is necessary to maintain the simple</w:t>
      </w:r>
      <w:r>
        <w:rPr>
          <w:lang w:val="en-GB"/>
        </w:rPr>
        <w:t xml:space="preserve"> </w:t>
      </w:r>
      <w:r w:rsidRPr="00473034">
        <w:rPr>
          <w:lang w:val="en-GB"/>
        </w:rPr>
        <w:t>derivation. The minimum value of QP is 0 (qS = 1).</w:t>
      </w:r>
      <w:r w:rsidR="0031119C" w:rsidRPr="002A6243">
        <w:rPr>
          <w:lang w:val="en-GB"/>
        </w:rPr>
        <w:t xml:space="preserve"> </w:t>
      </w:r>
    </w:p>
    <w:p w14:paraId="73A5ACE0" w14:textId="66069634" w:rsidR="002450FD" w:rsidRPr="008D4625" w:rsidRDefault="002450FD" w:rsidP="002450FD">
      <w:pPr>
        <w:pStyle w:val="30"/>
        <w:rPr>
          <w:lang w:val="en-GB"/>
        </w:rPr>
      </w:pPr>
      <w:r>
        <w:rPr>
          <w:lang w:val="en-GB"/>
        </w:rPr>
        <w:t>An IDCM specific QP for in-tree geometry quantisation from</w:t>
      </w:r>
      <w:r w:rsidRPr="008D4625">
        <w:rPr>
          <w:lang w:val="en-GB"/>
        </w:rPr>
        <w:t xml:space="preserve"> m</w:t>
      </w:r>
      <w:r>
        <w:rPr>
          <w:lang w:val="en-GB"/>
        </w:rPr>
        <w:t>5252</w:t>
      </w:r>
      <w:r>
        <w:rPr>
          <w:lang w:val="en-GB"/>
        </w:rPr>
        <w:t>3</w:t>
      </w:r>
      <w:r w:rsidR="002F75B3">
        <w:rPr>
          <w:lang w:val="en-GB"/>
        </w:rPr>
        <w:t xml:space="preserve"> [5]</w:t>
      </w:r>
      <w:r>
        <w:rPr>
          <w:lang w:val="en-GB"/>
        </w:rPr>
        <w:t xml:space="preserve"> </w:t>
      </w:r>
    </w:p>
    <w:p w14:paraId="381DF9E8" w14:textId="12F29AFD" w:rsidR="00A977F2" w:rsidRDefault="00A977F2" w:rsidP="001732A4">
      <w:pPr>
        <w:pStyle w:val="ListParagraph1"/>
        <w:spacing w:before="120" w:after="120"/>
        <w:ind w:left="0"/>
        <w:rPr>
          <w:lang w:val="en-GB"/>
        </w:rPr>
      </w:pPr>
      <w:r w:rsidRPr="00A977F2">
        <w:rPr>
          <w:lang w:val="en-GB"/>
        </w:rPr>
        <w:t>D</w:t>
      </w:r>
      <w:r w:rsidRPr="00A977F2">
        <w:rPr>
          <w:lang w:val="en-GB"/>
        </w:rPr>
        <w:t>ue to the</w:t>
      </w:r>
      <w:r w:rsidRPr="00A977F2">
        <w:rPr>
          <w:lang w:val="en-GB"/>
        </w:rPr>
        <w:t xml:space="preserve"> </w:t>
      </w:r>
      <w:r w:rsidRPr="00A977F2">
        <w:rPr>
          <w:lang w:val="en-GB"/>
        </w:rPr>
        <w:t xml:space="preserve">use of IDCM, some positions may escape </w:t>
      </w:r>
      <w:r w:rsidR="002761E0">
        <w:rPr>
          <w:lang w:val="en-GB"/>
        </w:rPr>
        <w:t>quantisation</w:t>
      </w:r>
      <w:r w:rsidRPr="00A977F2">
        <w:rPr>
          <w:lang w:val="en-GB"/>
        </w:rPr>
        <w:t xml:space="preserve"> if they occur earlier in the tree than the </w:t>
      </w:r>
      <w:r w:rsidR="002761E0">
        <w:rPr>
          <w:lang w:val="en-GB"/>
        </w:rPr>
        <w:t>quantisation</w:t>
      </w:r>
      <w:r>
        <w:rPr>
          <w:lang w:val="en-GB"/>
        </w:rPr>
        <w:t xml:space="preserve"> </w:t>
      </w:r>
      <w:r w:rsidRPr="00A977F2">
        <w:rPr>
          <w:lang w:val="en-GB"/>
        </w:rPr>
        <w:t xml:space="preserve">tree depth. This contribution suggests signalling an independent </w:t>
      </w:r>
      <w:r w:rsidR="002761E0">
        <w:rPr>
          <w:lang w:val="en-GB"/>
        </w:rPr>
        <w:t>quantisation</w:t>
      </w:r>
      <w:r w:rsidRPr="00A977F2">
        <w:rPr>
          <w:lang w:val="en-GB"/>
        </w:rPr>
        <w:t xml:space="preserve"> parameter for use with IDCM</w:t>
      </w:r>
      <w:r>
        <w:rPr>
          <w:lang w:val="en-GB"/>
        </w:rPr>
        <w:t xml:space="preserve"> </w:t>
      </w:r>
      <w:r w:rsidRPr="00A977F2">
        <w:rPr>
          <w:lang w:val="en-GB"/>
        </w:rPr>
        <w:t>nodes.</w:t>
      </w:r>
      <w:r w:rsidRPr="00A977F2">
        <w:rPr>
          <w:lang w:val="en-GB"/>
        </w:rPr>
        <w:t xml:space="preserve"> </w:t>
      </w:r>
    </w:p>
    <w:p w14:paraId="395D325F" w14:textId="63EB82F7" w:rsidR="00A977F2" w:rsidRPr="0016206B" w:rsidRDefault="00A977F2" w:rsidP="001732A4">
      <w:pPr>
        <w:pStyle w:val="ListParagraph1"/>
        <w:spacing w:before="120" w:after="120"/>
        <w:ind w:left="0"/>
        <w:rPr>
          <w:lang w:val="en-GB"/>
        </w:rPr>
      </w:pPr>
      <w:r w:rsidRPr="00A977F2">
        <w:rPr>
          <w:lang w:val="en-GB"/>
        </w:rPr>
        <w:t>In general, since information conveyed by isolated points is potentially less accurate than more dense regions,</w:t>
      </w:r>
      <w:r>
        <w:rPr>
          <w:lang w:val="en-GB"/>
        </w:rPr>
        <w:t xml:space="preserve"> </w:t>
      </w:r>
      <w:r w:rsidRPr="00A977F2">
        <w:rPr>
          <w:lang w:val="en-GB"/>
        </w:rPr>
        <w:t>it may not be necessary to use the full precision available from the octree. Similarly, in order to match the</w:t>
      </w:r>
      <w:r>
        <w:rPr>
          <w:lang w:val="en-GB"/>
        </w:rPr>
        <w:t xml:space="preserve"> </w:t>
      </w:r>
      <w:r w:rsidRPr="00A977F2">
        <w:rPr>
          <w:lang w:val="en-GB"/>
        </w:rPr>
        <w:t>quantisation behaviour of IDCM nodes with their non-IDCM counterparts, an independent QP</w:t>
      </w:r>
      <w:r>
        <w:rPr>
          <w:lang w:val="en-GB"/>
        </w:rPr>
        <w:t xml:space="preserve">, i.e., </w:t>
      </w:r>
      <w:r w:rsidR="0016206B">
        <w:rPr>
          <w:lang w:val="en-GB"/>
        </w:rPr>
        <w:t>idcmQP,</w:t>
      </w:r>
      <w:r w:rsidRPr="00A977F2">
        <w:rPr>
          <w:lang w:val="en-GB"/>
        </w:rPr>
        <w:t xml:space="preserve"> is proposed</w:t>
      </w:r>
      <w:r>
        <w:rPr>
          <w:lang w:val="en-GB"/>
        </w:rPr>
        <w:t xml:space="preserve"> </w:t>
      </w:r>
      <w:r w:rsidRPr="00A977F2">
        <w:rPr>
          <w:lang w:val="en-GB"/>
        </w:rPr>
        <w:t>for use by IDCM nodes</w:t>
      </w:r>
      <w:r>
        <w:rPr>
          <w:lang w:val="en-GB"/>
        </w:rPr>
        <w:t xml:space="preserve"> </w:t>
      </w:r>
      <w:r w:rsidRPr="00A977F2">
        <w:rPr>
          <w:lang w:val="en-GB"/>
        </w:rPr>
        <w:t>that occur prior to the depth at which per-node scaling QP offsets are signalled.</w:t>
      </w:r>
    </w:p>
    <w:p w14:paraId="102EAF08" w14:textId="77777777" w:rsidR="009224ED" w:rsidRPr="008D4625" w:rsidRDefault="009224ED" w:rsidP="009224ED">
      <w:pPr>
        <w:pStyle w:val="20"/>
        <w:rPr>
          <w:lang w:val="en-GB"/>
        </w:rPr>
      </w:pPr>
      <w:r w:rsidRPr="008D4625">
        <w:rPr>
          <w:lang w:val="en-GB"/>
        </w:rPr>
        <w:t>Information for conducting tests</w:t>
      </w:r>
    </w:p>
    <w:p w14:paraId="61E6156C" w14:textId="77777777" w:rsidR="009224ED" w:rsidRPr="008166B8" w:rsidRDefault="009224ED" w:rsidP="009224ED">
      <w:pPr>
        <w:pStyle w:val="30"/>
        <w:rPr>
          <w:lang w:val="en-GB"/>
        </w:rPr>
      </w:pPr>
      <w:r w:rsidRPr="008166B8">
        <w:rPr>
          <w:lang w:val="en-GB"/>
        </w:rPr>
        <w:t>Software</w:t>
      </w:r>
    </w:p>
    <w:p w14:paraId="52D0C6D8" w14:textId="18C13F67" w:rsidR="009224ED" w:rsidRPr="008166B8" w:rsidRDefault="009224ED" w:rsidP="009224ED">
      <w:pPr>
        <w:rPr>
          <w:lang w:val="en-GB"/>
        </w:rPr>
      </w:pPr>
      <w:r w:rsidRPr="008166B8">
        <w:rPr>
          <w:lang w:val="en-GB"/>
        </w:rPr>
        <w:t>TMC13v</w:t>
      </w:r>
      <w:r w:rsidR="006D4A12">
        <w:rPr>
          <w:lang w:val="en-GB"/>
        </w:rPr>
        <w:t>9</w:t>
      </w:r>
      <w:r w:rsidRPr="008166B8">
        <w:rPr>
          <w:lang w:val="en-GB"/>
        </w:rPr>
        <w:t xml:space="preserve"> </w:t>
      </w:r>
      <w:r w:rsidRPr="008166B8">
        <w:rPr>
          <w:lang w:val="en-GB"/>
        </w:rPr>
        <w:fldChar w:fldCharType="begin"/>
      </w:r>
      <w:r w:rsidRPr="008166B8">
        <w:rPr>
          <w:lang w:val="en-GB"/>
        </w:rPr>
        <w:instrText xml:space="preserve"> REF _Ref504584541 \r \h  \* MERGEFORMAT </w:instrText>
      </w:r>
      <w:r w:rsidRPr="008166B8">
        <w:rPr>
          <w:lang w:val="en-GB"/>
        </w:rPr>
      </w:r>
      <w:r w:rsidRPr="008166B8">
        <w:rPr>
          <w:lang w:val="en-GB"/>
        </w:rPr>
        <w:fldChar w:fldCharType="end"/>
      </w:r>
      <w:r w:rsidRPr="008166B8">
        <w:rPr>
          <w:lang w:val="en-GB"/>
        </w:rPr>
        <w:t>shall be used for these experiments. The proposed tools shall be implemented on top of TMC13v</w:t>
      </w:r>
      <w:r w:rsidR="006D4A12">
        <w:rPr>
          <w:lang w:val="en-GB"/>
        </w:rPr>
        <w:t>9</w:t>
      </w:r>
      <w:r w:rsidRPr="008166B8">
        <w:rPr>
          <w:lang w:val="en-GB"/>
        </w:rPr>
        <w:fldChar w:fldCharType="begin"/>
      </w:r>
      <w:r w:rsidRPr="008166B8">
        <w:rPr>
          <w:lang w:val="en-GB"/>
        </w:rPr>
        <w:instrText xml:space="preserve"> REF _Ref504584541 \r \h  \* MERGEFORMAT </w:instrText>
      </w:r>
      <w:r w:rsidRPr="008166B8">
        <w:rPr>
          <w:lang w:val="en-GB"/>
        </w:rPr>
      </w:r>
      <w:r w:rsidRPr="008166B8">
        <w:rPr>
          <w:lang w:val="en-GB"/>
        </w:rPr>
        <w:fldChar w:fldCharType="end"/>
      </w:r>
      <w:r w:rsidRPr="008166B8">
        <w:rPr>
          <w:lang w:val="en-GB"/>
        </w:rPr>
        <w:t>.</w:t>
      </w:r>
    </w:p>
    <w:p w14:paraId="2E693AEA" w14:textId="217BCEA4" w:rsidR="009224ED" w:rsidRPr="008166B8" w:rsidRDefault="009224ED" w:rsidP="009224ED">
      <w:pPr>
        <w:pStyle w:val="30"/>
        <w:rPr>
          <w:lang w:val="en-GB"/>
        </w:rPr>
      </w:pPr>
      <w:r w:rsidRPr="008166B8">
        <w:rPr>
          <w:lang w:val="en-GB"/>
        </w:rPr>
        <w:t>Test configurations</w:t>
      </w:r>
      <w:r w:rsidR="0016206B">
        <w:rPr>
          <w:lang w:val="en-GB"/>
        </w:rPr>
        <w:t xml:space="preserve"> for m52522</w:t>
      </w:r>
    </w:p>
    <w:p w14:paraId="1605F2CF" w14:textId="6A5B7389" w:rsidR="009224ED" w:rsidRDefault="00485171" w:rsidP="009224ED">
      <w:pPr>
        <w:rPr>
          <w:lang w:val="en-GB"/>
        </w:rPr>
      </w:pPr>
      <w:bookmarkStart w:id="1" w:name="_Hlk520966023"/>
      <w:r>
        <w:rPr>
          <w:lang w:val="en-GB"/>
        </w:rPr>
        <w:t xml:space="preserve">In this experiment, </w:t>
      </w:r>
      <w:r w:rsidR="0016206B">
        <w:rPr>
          <w:lang w:val="en-GB"/>
        </w:rPr>
        <w:t>following configuration will be used:</w:t>
      </w:r>
    </w:p>
    <w:p w14:paraId="73EB0E83" w14:textId="5043D3D0" w:rsidR="0016206B" w:rsidRDefault="00485171" w:rsidP="00485171">
      <w:pPr>
        <w:pStyle w:val="ae"/>
        <w:numPr>
          <w:ilvl w:val="0"/>
          <w:numId w:val="35"/>
        </w:numPr>
        <w:spacing w:after="160" w:line="259" w:lineRule="auto"/>
        <w:rPr>
          <w:rFonts w:eastAsiaTheme="minorEastAsia"/>
          <w:lang w:eastAsia="zh-CN"/>
        </w:rPr>
      </w:pPr>
      <w:r w:rsidRPr="00C80DFA">
        <w:rPr>
          <w:rFonts w:eastAsiaTheme="minorEastAsia"/>
          <w:lang w:eastAsia="zh-CN"/>
        </w:rPr>
        <w:lastRenderedPageBreak/>
        <w:t>positionQuantisationOctreeSize=5, 7, 9</w:t>
      </w:r>
      <w:r>
        <w:rPr>
          <w:rFonts w:eastAsiaTheme="minorEastAsia"/>
          <w:lang w:eastAsia="zh-CN"/>
        </w:rPr>
        <w:t xml:space="preserve"> </w:t>
      </w:r>
      <w:r w:rsidR="0016206B">
        <w:rPr>
          <w:rFonts w:eastAsiaTheme="minorEastAsia"/>
          <w:lang w:eastAsia="zh-CN"/>
        </w:rPr>
        <w:t xml:space="preserve">for point clouds with geometry precision </w:t>
      </w:r>
      <w:r w:rsidR="007A188A">
        <w:rPr>
          <w:rFonts w:eastAsiaTheme="minorEastAsia"/>
          <w:lang w:eastAsia="zh-CN"/>
        </w:rPr>
        <w:t>&lt;=</w:t>
      </w:r>
      <w:r w:rsidR="0016206B">
        <w:rPr>
          <w:rFonts w:eastAsiaTheme="minorEastAsia"/>
          <w:lang w:eastAsia="zh-CN"/>
        </w:rPr>
        <w:t xml:space="preserve"> 1</w:t>
      </w:r>
      <w:r w:rsidR="007A188A">
        <w:rPr>
          <w:rFonts w:eastAsiaTheme="minorEastAsia"/>
          <w:lang w:eastAsia="zh-CN"/>
        </w:rPr>
        <w:t>1</w:t>
      </w:r>
      <w:r w:rsidR="0016206B">
        <w:rPr>
          <w:rFonts w:eastAsiaTheme="minorEastAsia"/>
          <w:lang w:eastAsia="zh-CN"/>
        </w:rPr>
        <w:t xml:space="preserve"> bit</w:t>
      </w:r>
    </w:p>
    <w:p w14:paraId="5521ABBA" w14:textId="00645307" w:rsidR="007A188A" w:rsidRDefault="007A188A" w:rsidP="00485171">
      <w:pPr>
        <w:pStyle w:val="ae"/>
        <w:numPr>
          <w:ilvl w:val="0"/>
          <w:numId w:val="35"/>
        </w:numPr>
        <w:spacing w:after="160" w:line="259" w:lineRule="auto"/>
        <w:rPr>
          <w:rFonts w:eastAsiaTheme="minorEastAsia"/>
          <w:lang w:eastAsia="zh-CN"/>
        </w:rPr>
      </w:pPr>
      <w:r w:rsidRPr="00C80DFA">
        <w:rPr>
          <w:rFonts w:eastAsiaTheme="minorEastAsia"/>
          <w:lang w:eastAsia="zh-CN"/>
        </w:rPr>
        <w:t>positionQuantisationOctreeSize=5, 7, 9</w:t>
      </w:r>
      <w:r>
        <w:rPr>
          <w:rFonts w:eastAsiaTheme="minorEastAsia"/>
          <w:lang w:eastAsia="zh-CN"/>
        </w:rPr>
        <w:t>, 11</w:t>
      </w:r>
      <w:r>
        <w:rPr>
          <w:rFonts w:eastAsiaTheme="minorEastAsia"/>
          <w:lang w:eastAsia="zh-CN"/>
        </w:rPr>
        <w:t xml:space="preserve"> for point clouds with geometry precision </w:t>
      </w:r>
      <w:r>
        <w:rPr>
          <w:rFonts w:eastAsiaTheme="minorEastAsia"/>
          <w:lang w:eastAsia="zh-CN"/>
        </w:rPr>
        <w:t>&gt;</w:t>
      </w:r>
      <w:r>
        <w:rPr>
          <w:rFonts w:eastAsiaTheme="minorEastAsia"/>
          <w:lang w:eastAsia="zh-CN"/>
        </w:rPr>
        <w:t xml:space="preserve"> 11 bit</w:t>
      </w:r>
    </w:p>
    <w:p w14:paraId="4C9E3EBA" w14:textId="609AEA6A" w:rsidR="0016206B" w:rsidRDefault="0016206B" w:rsidP="00485171">
      <w:pPr>
        <w:pStyle w:val="ae"/>
        <w:numPr>
          <w:ilvl w:val="0"/>
          <w:numId w:val="35"/>
        </w:numPr>
        <w:spacing w:after="160" w:line="259" w:lineRule="auto"/>
        <w:rPr>
          <w:rFonts w:eastAsiaTheme="minorEastAsia"/>
          <w:lang w:eastAsia="zh-CN"/>
        </w:rPr>
      </w:pPr>
      <w:r w:rsidRPr="00485171">
        <w:rPr>
          <w:rFonts w:eastAsiaTheme="minorEastAsia"/>
          <w:lang w:eastAsia="zh-CN"/>
        </w:rPr>
        <w:t xml:space="preserve">positionBaseQp </w:t>
      </w:r>
      <w:r>
        <w:rPr>
          <w:rFonts w:eastAsiaTheme="minorEastAsia"/>
          <w:lang w:eastAsia="zh-CN"/>
        </w:rPr>
        <w:t>sweeps</w:t>
      </w:r>
      <w:r>
        <w:rPr>
          <w:rFonts w:eastAsiaTheme="minorEastAsia"/>
          <w:lang w:eastAsia="zh-CN"/>
        </w:rPr>
        <w:t xml:space="preserve"> </w:t>
      </w:r>
      <w:r w:rsidRPr="00485171">
        <w:rPr>
          <w:rFonts w:eastAsiaTheme="minorEastAsia"/>
          <w:lang w:eastAsia="zh-CN"/>
        </w:rPr>
        <w:t xml:space="preserve">from </w:t>
      </w:r>
      <w:r>
        <w:rPr>
          <w:rFonts w:eastAsiaTheme="minorEastAsia"/>
          <w:lang w:eastAsia="zh-CN"/>
        </w:rPr>
        <w:t>1</w:t>
      </w:r>
      <w:r w:rsidRPr="00485171">
        <w:rPr>
          <w:rFonts w:eastAsiaTheme="minorEastAsia"/>
          <w:lang w:eastAsia="zh-CN"/>
        </w:rPr>
        <w:t xml:space="preserve"> to </w:t>
      </w:r>
      <w:r>
        <w:rPr>
          <w:rFonts w:eastAsiaTheme="minorEastAsia"/>
          <w:lang w:eastAsia="zh-CN"/>
        </w:rPr>
        <w:t xml:space="preserve">a QP value such that the corresponding </w:t>
      </w:r>
      <w:r w:rsidR="002761E0">
        <w:rPr>
          <w:rFonts w:eastAsiaTheme="minorEastAsia"/>
          <w:lang w:eastAsia="zh-CN"/>
        </w:rPr>
        <w:t>quantisation</w:t>
      </w:r>
      <w:r>
        <w:rPr>
          <w:rFonts w:eastAsiaTheme="minorEastAsia"/>
          <w:lang w:eastAsia="zh-CN"/>
        </w:rPr>
        <w:t xml:space="preserve"> step size is greater than or equal to the node size (i.e., quantize a node into one point)</w:t>
      </w:r>
    </w:p>
    <w:p w14:paraId="4AD10CF7" w14:textId="3DCB33F1" w:rsidR="00485171" w:rsidRPr="00B21C79" w:rsidRDefault="00485171" w:rsidP="00485171">
      <w:pPr>
        <w:pStyle w:val="ae"/>
        <w:numPr>
          <w:ilvl w:val="0"/>
          <w:numId w:val="35"/>
        </w:numPr>
        <w:spacing w:after="160" w:line="259" w:lineRule="auto"/>
        <w:rPr>
          <w:rFonts w:eastAsiaTheme="minorEastAsia"/>
          <w:lang w:eastAsia="zh-CN"/>
        </w:rPr>
      </w:pPr>
      <w:r>
        <w:t>partitionMethod=</w:t>
      </w:r>
      <w:r w:rsidR="007A188A">
        <w:t>2 (default partition method used in CTC)</w:t>
      </w:r>
    </w:p>
    <w:p w14:paraId="18008980" w14:textId="322FC4FB" w:rsidR="003356CD" w:rsidRDefault="00485171" w:rsidP="009224ED">
      <w:pPr>
        <w:rPr>
          <w:rFonts w:eastAsiaTheme="minorEastAsia"/>
          <w:lang w:eastAsia="zh-CN"/>
        </w:rPr>
      </w:pPr>
      <w:r w:rsidRPr="00485171">
        <w:rPr>
          <w:rFonts w:eastAsiaTheme="minorEastAsia"/>
          <w:lang w:eastAsia="zh-CN"/>
        </w:rPr>
        <w:t xml:space="preserve">The geometry distortion is measured by D1 and D2 metrics. </w:t>
      </w:r>
      <w:r w:rsidR="003356CD">
        <w:rPr>
          <w:rFonts w:eastAsiaTheme="minorEastAsia"/>
          <w:lang w:eastAsia="zh-CN"/>
        </w:rPr>
        <w:t xml:space="preserve">Besides the objective metric, subjective quality comparison for dense point cloud is also need. </w:t>
      </w:r>
    </w:p>
    <w:p w14:paraId="6DA49E0F" w14:textId="2795987B" w:rsidR="007A188A" w:rsidRDefault="007A188A" w:rsidP="007A188A">
      <w:pPr>
        <w:pStyle w:val="30"/>
        <w:rPr>
          <w:lang w:val="en-GB"/>
        </w:rPr>
      </w:pPr>
      <w:r w:rsidRPr="008166B8">
        <w:rPr>
          <w:lang w:val="en-GB"/>
        </w:rPr>
        <w:t>Test configurations</w:t>
      </w:r>
      <w:r>
        <w:rPr>
          <w:lang w:val="en-GB"/>
        </w:rPr>
        <w:t xml:space="preserve"> for m5252</w:t>
      </w:r>
      <w:r>
        <w:rPr>
          <w:lang w:val="en-GB"/>
        </w:rPr>
        <w:t>3</w:t>
      </w:r>
    </w:p>
    <w:p w14:paraId="4ECDCD7E" w14:textId="24CEA646" w:rsidR="007A188A" w:rsidRDefault="007A188A" w:rsidP="007A188A">
      <w:pPr>
        <w:rPr>
          <w:lang w:val="en-GB"/>
        </w:rPr>
      </w:pPr>
      <w:r>
        <w:rPr>
          <w:rFonts w:hint="eastAsia"/>
          <w:lang w:val="en-GB"/>
        </w:rPr>
        <w:t>I</w:t>
      </w:r>
      <w:r>
        <w:rPr>
          <w:lang w:val="en-GB"/>
        </w:rPr>
        <w:t>n this experiment, following two tests will be conducted:</w:t>
      </w:r>
    </w:p>
    <w:p w14:paraId="0FAFB407" w14:textId="07603630" w:rsidR="0068739F" w:rsidRDefault="007A188A" w:rsidP="007A188A">
      <w:pPr>
        <w:pStyle w:val="ae"/>
        <w:numPr>
          <w:ilvl w:val="0"/>
          <w:numId w:val="35"/>
        </w:numPr>
        <w:spacing w:after="160" w:line="259" w:lineRule="auto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U</w:t>
      </w:r>
      <w:r w:rsidRPr="007A188A">
        <w:rPr>
          <w:rFonts w:eastAsiaTheme="minorEastAsia"/>
          <w:lang w:eastAsia="zh-CN"/>
        </w:rPr>
        <w:t>niform quantisation, ie idcm</w:t>
      </w:r>
      <w:r>
        <w:rPr>
          <w:rFonts w:eastAsiaTheme="minorEastAsia"/>
          <w:lang w:eastAsia="zh-CN"/>
        </w:rPr>
        <w:t>QP</w:t>
      </w:r>
      <w:r w:rsidRPr="007A188A">
        <w:rPr>
          <w:rFonts w:eastAsiaTheme="minorEastAsia"/>
          <w:lang w:eastAsia="zh-CN"/>
        </w:rPr>
        <w:t xml:space="preserve"> is the same as the </w:t>
      </w:r>
      <w:r w:rsidR="0068739F">
        <w:rPr>
          <w:rFonts w:eastAsiaTheme="minorEastAsia"/>
          <w:lang w:eastAsia="zh-CN"/>
        </w:rPr>
        <w:t xml:space="preserve">in-tree geometry </w:t>
      </w:r>
      <w:r w:rsidR="002761E0">
        <w:rPr>
          <w:rFonts w:eastAsiaTheme="minorEastAsia"/>
          <w:lang w:eastAsia="zh-CN"/>
        </w:rPr>
        <w:t>quantisation</w:t>
      </w:r>
      <w:r w:rsidRPr="007A188A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QP</w:t>
      </w:r>
      <w:r w:rsidR="0068739F">
        <w:rPr>
          <w:rFonts w:eastAsiaTheme="minorEastAsia"/>
          <w:lang w:eastAsia="zh-CN"/>
        </w:rPr>
        <w:t xml:space="preserve"> </w:t>
      </w:r>
    </w:p>
    <w:p w14:paraId="25BA2B2A" w14:textId="7FFAF013" w:rsidR="007A188A" w:rsidRDefault="0068739F" w:rsidP="0068739F">
      <w:pPr>
        <w:pStyle w:val="ae"/>
        <w:numPr>
          <w:ilvl w:val="1"/>
          <w:numId w:val="35"/>
        </w:numPr>
        <w:spacing w:after="160" w:line="259" w:lineRule="auto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which sweeps from 5 to a QP value such that the </w:t>
      </w:r>
      <w:r w:rsidR="002761E0">
        <w:rPr>
          <w:rFonts w:eastAsiaTheme="minorEastAsia"/>
          <w:lang w:eastAsia="zh-CN"/>
        </w:rPr>
        <w:t>quantisation</w:t>
      </w:r>
      <w:r>
        <w:rPr>
          <w:rFonts w:eastAsiaTheme="minorEastAsia"/>
          <w:lang w:eastAsia="zh-CN"/>
        </w:rPr>
        <w:t xml:space="preserve"> step size is larger than or equal to the node size</w:t>
      </w:r>
    </w:p>
    <w:p w14:paraId="4D595184" w14:textId="52487CDE" w:rsidR="0068739F" w:rsidRDefault="0068739F" w:rsidP="0068739F">
      <w:pPr>
        <w:pStyle w:val="ae"/>
        <w:numPr>
          <w:ilvl w:val="1"/>
          <w:numId w:val="35"/>
        </w:numPr>
        <w:spacing w:after="160" w:line="259" w:lineRule="auto"/>
        <w:rPr>
          <w:rFonts w:eastAsiaTheme="minorEastAsia"/>
          <w:lang w:eastAsia="zh-CN"/>
        </w:rPr>
      </w:pPr>
      <w:r w:rsidRPr="00C80DFA">
        <w:rPr>
          <w:rFonts w:eastAsiaTheme="minorEastAsia"/>
          <w:lang w:eastAsia="zh-CN"/>
        </w:rPr>
        <w:t>positionQuantisationOctreeSize=5, 7, 9</w:t>
      </w:r>
    </w:p>
    <w:p w14:paraId="26CD95AF" w14:textId="5B94B36B" w:rsidR="007A188A" w:rsidRPr="007A188A" w:rsidRDefault="007A188A" w:rsidP="007A188A">
      <w:pPr>
        <w:pStyle w:val="ae"/>
        <w:numPr>
          <w:ilvl w:val="0"/>
          <w:numId w:val="35"/>
        </w:numPr>
        <w:spacing w:after="160" w:line="259" w:lineRule="auto"/>
        <w:rPr>
          <w:rFonts w:eastAsiaTheme="minorEastAsia"/>
          <w:lang w:eastAsia="zh-CN"/>
        </w:rPr>
      </w:pPr>
      <w:r w:rsidRPr="007A188A">
        <w:rPr>
          <w:rFonts w:eastAsiaTheme="minorEastAsia"/>
          <w:lang w:eastAsia="zh-CN"/>
        </w:rPr>
        <w:t>idcm-only quantisation: sweep the idcm</w:t>
      </w:r>
      <w:r>
        <w:rPr>
          <w:rFonts w:eastAsiaTheme="minorEastAsia"/>
          <w:lang w:eastAsia="zh-CN"/>
        </w:rPr>
        <w:t>QP</w:t>
      </w:r>
      <w:r w:rsidRPr="007A188A">
        <w:rPr>
          <w:rFonts w:eastAsiaTheme="minorEastAsia"/>
          <w:lang w:eastAsia="zh-CN"/>
        </w:rPr>
        <w:t xml:space="preserve">, but keep the sliceqp to </w:t>
      </w:r>
      <w:r w:rsidR="0068739F">
        <w:rPr>
          <w:rFonts w:eastAsiaTheme="minorEastAsia"/>
          <w:lang w:eastAsia="zh-CN"/>
        </w:rPr>
        <w:t>4</w:t>
      </w:r>
      <w:r w:rsidRPr="007A188A">
        <w:rPr>
          <w:rFonts w:eastAsiaTheme="minorEastAsia"/>
          <w:lang w:eastAsia="zh-CN"/>
        </w:rPr>
        <w:t>.</w:t>
      </w:r>
    </w:p>
    <w:p w14:paraId="7D40B3D5" w14:textId="489231A8" w:rsidR="009224ED" w:rsidRPr="008166B8" w:rsidRDefault="00485171" w:rsidP="009224ED">
      <w:pPr>
        <w:pStyle w:val="30"/>
        <w:rPr>
          <w:lang w:val="en-GB"/>
        </w:rPr>
      </w:pPr>
      <w:r>
        <w:rPr>
          <w:lang w:val="en-GB"/>
        </w:rPr>
        <w:t>Test Sequences</w:t>
      </w:r>
    </w:p>
    <w:p w14:paraId="0792AB5D" w14:textId="53FA4DC8" w:rsidR="009224ED" w:rsidRPr="008D4625" w:rsidRDefault="003356CD" w:rsidP="003356CD">
      <w:pPr>
        <w:spacing w:after="120"/>
        <w:rPr>
          <w:iCs/>
          <w:lang w:val="en-GB"/>
        </w:rPr>
      </w:pPr>
      <w:bookmarkStart w:id="2" w:name="_Hlk520966040"/>
      <w:r>
        <w:rPr>
          <w:lang w:val="en-GB" w:eastAsia="fr-FR"/>
        </w:rPr>
        <w:t xml:space="preserve">To reduce the simulation time, we only run the tests with a subset of test sequences, shown in the following table: </w:t>
      </w:r>
    </w:p>
    <w:bookmarkEnd w:id="1"/>
    <w:bookmarkEnd w:id="2"/>
    <w:p w14:paraId="2A77CC32" w14:textId="77777777" w:rsidR="003356C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lang w:val="en-GB"/>
        </w:rPr>
      </w:pPr>
      <w:r w:rsidRPr="008D4625">
        <w:rPr>
          <w:iCs/>
          <w:lang w:val="en-GB"/>
        </w:rPr>
        <w:t xml:space="preserve"> </w:t>
      </w:r>
    </w:p>
    <w:tbl>
      <w:tblPr>
        <w:tblStyle w:val="a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551"/>
      </w:tblGrid>
      <w:tr w:rsidR="003356CD" w14:paraId="6F3A3026" w14:textId="77777777" w:rsidTr="00007FB3">
        <w:trPr>
          <w:jc w:val="center"/>
        </w:trPr>
        <w:tc>
          <w:tcPr>
            <w:tcW w:w="1413" w:type="dxa"/>
            <w:vAlign w:val="center"/>
          </w:tcPr>
          <w:p w14:paraId="50E16804" w14:textId="77777777" w:rsidR="003356CD" w:rsidRPr="00917082" w:rsidRDefault="003356CD" w:rsidP="001209AF">
            <w:pPr>
              <w:jc w:val="center"/>
              <w:rPr>
                <w:rFonts w:eastAsiaTheme="minorEastAsia"/>
                <w:b/>
                <w:lang w:eastAsia="zh-CN"/>
              </w:rPr>
            </w:pPr>
            <w:r w:rsidRPr="00917082">
              <w:rPr>
                <w:rFonts w:eastAsiaTheme="minorEastAsia"/>
                <w:b/>
                <w:lang w:eastAsia="zh-CN"/>
              </w:rPr>
              <w:t>Category</w:t>
            </w:r>
          </w:p>
        </w:tc>
        <w:tc>
          <w:tcPr>
            <w:tcW w:w="2551" w:type="dxa"/>
            <w:vAlign w:val="center"/>
          </w:tcPr>
          <w:p w14:paraId="726030B9" w14:textId="77777777" w:rsidR="003356CD" w:rsidRPr="00917082" w:rsidRDefault="003356CD" w:rsidP="001209AF">
            <w:pPr>
              <w:jc w:val="center"/>
              <w:rPr>
                <w:rFonts w:eastAsiaTheme="minorEastAsia"/>
                <w:b/>
                <w:lang w:eastAsia="zh-CN"/>
              </w:rPr>
            </w:pPr>
            <w:r w:rsidRPr="00917082">
              <w:rPr>
                <w:rFonts w:eastAsiaTheme="minorEastAsia"/>
                <w:b/>
                <w:lang w:eastAsia="zh-CN"/>
              </w:rPr>
              <w:t>Point Cloud</w:t>
            </w:r>
          </w:p>
        </w:tc>
      </w:tr>
      <w:tr w:rsidR="003356CD" w14:paraId="17528EAA" w14:textId="77777777" w:rsidTr="00007FB3">
        <w:trPr>
          <w:jc w:val="center"/>
        </w:trPr>
        <w:tc>
          <w:tcPr>
            <w:tcW w:w="1413" w:type="dxa"/>
            <w:vAlign w:val="center"/>
          </w:tcPr>
          <w:p w14:paraId="26562741" w14:textId="77777777" w:rsidR="003356CD" w:rsidRDefault="003356CD" w:rsidP="001209AF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Cat1A</w:t>
            </w:r>
          </w:p>
        </w:tc>
        <w:tc>
          <w:tcPr>
            <w:tcW w:w="2551" w:type="dxa"/>
            <w:vAlign w:val="center"/>
          </w:tcPr>
          <w:p w14:paraId="522CAF6B" w14:textId="77777777" w:rsidR="003356CD" w:rsidRDefault="003356CD" w:rsidP="001209AF">
            <w:pPr>
              <w:rPr>
                <w:rFonts w:eastAsiaTheme="minorEastAsia"/>
                <w:lang w:eastAsia="zh-CN"/>
              </w:rPr>
            </w:pPr>
            <w:r w:rsidRPr="009169ED">
              <w:rPr>
                <w:rFonts w:eastAsiaTheme="minorEastAsia"/>
                <w:lang w:eastAsia="zh-CN"/>
              </w:rPr>
              <w:t>facade_00064_vox11</w:t>
            </w:r>
          </w:p>
        </w:tc>
      </w:tr>
      <w:tr w:rsidR="003356CD" w14:paraId="0E060BAE" w14:textId="77777777" w:rsidTr="00007FB3">
        <w:trPr>
          <w:jc w:val="center"/>
        </w:trPr>
        <w:tc>
          <w:tcPr>
            <w:tcW w:w="1413" w:type="dxa"/>
            <w:vAlign w:val="center"/>
          </w:tcPr>
          <w:p w14:paraId="5537CDB9" w14:textId="77777777" w:rsidR="003356CD" w:rsidRDefault="003356CD" w:rsidP="001209AF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Cat1A</w:t>
            </w:r>
          </w:p>
        </w:tc>
        <w:tc>
          <w:tcPr>
            <w:tcW w:w="2551" w:type="dxa"/>
            <w:vAlign w:val="center"/>
          </w:tcPr>
          <w:p w14:paraId="58DC145D" w14:textId="77777777" w:rsidR="003356CD" w:rsidRDefault="003356CD" w:rsidP="001209AF">
            <w:pPr>
              <w:rPr>
                <w:rFonts w:eastAsiaTheme="minorEastAsia"/>
                <w:lang w:eastAsia="zh-CN"/>
              </w:rPr>
            </w:pPr>
            <w:r w:rsidRPr="009169ED">
              <w:rPr>
                <w:rFonts w:eastAsiaTheme="minorEastAsia"/>
                <w:lang w:eastAsia="zh-CN"/>
              </w:rPr>
              <w:t>longdress_vox10_1300</w:t>
            </w:r>
          </w:p>
        </w:tc>
      </w:tr>
      <w:tr w:rsidR="003356CD" w14:paraId="3C105A74" w14:textId="77777777" w:rsidTr="00007FB3">
        <w:trPr>
          <w:jc w:val="center"/>
        </w:trPr>
        <w:tc>
          <w:tcPr>
            <w:tcW w:w="1413" w:type="dxa"/>
            <w:vAlign w:val="center"/>
          </w:tcPr>
          <w:p w14:paraId="18FAC829" w14:textId="77777777" w:rsidR="003356CD" w:rsidRDefault="003356CD" w:rsidP="001209AF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Cat1A</w:t>
            </w:r>
          </w:p>
        </w:tc>
        <w:tc>
          <w:tcPr>
            <w:tcW w:w="2551" w:type="dxa"/>
            <w:vAlign w:val="center"/>
          </w:tcPr>
          <w:p w14:paraId="67DD9E57" w14:textId="77777777" w:rsidR="003356CD" w:rsidRDefault="003356CD" w:rsidP="001209AF">
            <w:pPr>
              <w:rPr>
                <w:rFonts w:eastAsiaTheme="minorEastAsia"/>
                <w:lang w:eastAsia="zh-CN"/>
              </w:rPr>
            </w:pPr>
            <w:r w:rsidRPr="009169ED">
              <w:rPr>
                <w:rFonts w:eastAsiaTheme="minorEastAsia"/>
                <w:lang w:eastAsia="zh-CN"/>
              </w:rPr>
              <w:t>loot_viewdep_vox12</w:t>
            </w:r>
          </w:p>
        </w:tc>
      </w:tr>
      <w:tr w:rsidR="003356CD" w14:paraId="0980D8DC" w14:textId="77777777" w:rsidTr="00007FB3">
        <w:trPr>
          <w:jc w:val="center"/>
        </w:trPr>
        <w:tc>
          <w:tcPr>
            <w:tcW w:w="1413" w:type="dxa"/>
            <w:vAlign w:val="center"/>
          </w:tcPr>
          <w:p w14:paraId="5A6AEEBA" w14:textId="77777777" w:rsidR="003356CD" w:rsidRDefault="003356CD" w:rsidP="001209AF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Cat1A</w:t>
            </w:r>
          </w:p>
        </w:tc>
        <w:tc>
          <w:tcPr>
            <w:tcW w:w="2551" w:type="dxa"/>
            <w:vAlign w:val="center"/>
          </w:tcPr>
          <w:p w14:paraId="53554690" w14:textId="77777777" w:rsidR="003356CD" w:rsidRDefault="003356CD" w:rsidP="001209AF">
            <w:pPr>
              <w:rPr>
                <w:rFonts w:eastAsiaTheme="minorEastAsia"/>
                <w:lang w:eastAsia="zh-CN"/>
              </w:rPr>
            </w:pPr>
            <w:r w:rsidRPr="009169ED">
              <w:rPr>
                <w:rFonts w:eastAsiaTheme="minorEastAsia"/>
                <w:lang w:eastAsia="zh-CN"/>
              </w:rPr>
              <w:t>queen_0200</w:t>
            </w:r>
          </w:p>
        </w:tc>
      </w:tr>
      <w:tr w:rsidR="003356CD" w14:paraId="68B73770" w14:textId="77777777" w:rsidTr="00007FB3">
        <w:trPr>
          <w:jc w:val="center"/>
        </w:trPr>
        <w:tc>
          <w:tcPr>
            <w:tcW w:w="1413" w:type="dxa"/>
            <w:vAlign w:val="center"/>
          </w:tcPr>
          <w:p w14:paraId="2F0C1B88" w14:textId="77777777" w:rsidR="003356CD" w:rsidRDefault="003356CD" w:rsidP="001209AF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Cat1B</w:t>
            </w:r>
          </w:p>
        </w:tc>
        <w:tc>
          <w:tcPr>
            <w:tcW w:w="2551" w:type="dxa"/>
            <w:vAlign w:val="center"/>
          </w:tcPr>
          <w:p w14:paraId="7E88FF4D" w14:textId="77777777" w:rsidR="003356CD" w:rsidRDefault="003356CD" w:rsidP="001209AF">
            <w:pPr>
              <w:rPr>
                <w:rFonts w:eastAsiaTheme="minorEastAsia"/>
                <w:lang w:eastAsia="zh-CN"/>
              </w:rPr>
            </w:pPr>
            <w:r w:rsidRPr="009169ED">
              <w:rPr>
                <w:rFonts w:eastAsiaTheme="minorEastAsia"/>
                <w:lang w:eastAsia="zh-CN"/>
              </w:rPr>
              <w:t>facade_00064_vox14</w:t>
            </w:r>
          </w:p>
        </w:tc>
      </w:tr>
      <w:tr w:rsidR="003356CD" w14:paraId="18FA3143" w14:textId="77777777" w:rsidTr="00007FB3">
        <w:trPr>
          <w:jc w:val="center"/>
        </w:trPr>
        <w:tc>
          <w:tcPr>
            <w:tcW w:w="1413" w:type="dxa"/>
            <w:vAlign w:val="center"/>
          </w:tcPr>
          <w:p w14:paraId="57D6B74D" w14:textId="77777777" w:rsidR="003356CD" w:rsidRDefault="003356CD" w:rsidP="001209AF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Cat1B</w:t>
            </w:r>
          </w:p>
        </w:tc>
        <w:tc>
          <w:tcPr>
            <w:tcW w:w="2551" w:type="dxa"/>
            <w:vAlign w:val="center"/>
          </w:tcPr>
          <w:p w14:paraId="6342E93A" w14:textId="77777777" w:rsidR="003356CD" w:rsidRDefault="003356CD" w:rsidP="001209AF">
            <w:pPr>
              <w:rPr>
                <w:rFonts w:eastAsiaTheme="minorEastAsia"/>
                <w:lang w:eastAsia="zh-CN"/>
              </w:rPr>
            </w:pPr>
            <w:r w:rsidRPr="009169ED">
              <w:rPr>
                <w:rFonts w:eastAsiaTheme="minorEastAsia"/>
                <w:lang w:eastAsia="zh-CN"/>
              </w:rPr>
              <w:t>facade_00064_vox20</w:t>
            </w:r>
          </w:p>
        </w:tc>
      </w:tr>
      <w:tr w:rsidR="003356CD" w14:paraId="6CE6D6CC" w14:textId="77777777" w:rsidTr="00007FB3">
        <w:trPr>
          <w:jc w:val="center"/>
        </w:trPr>
        <w:tc>
          <w:tcPr>
            <w:tcW w:w="1413" w:type="dxa"/>
            <w:vAlign w:val="center"/>
          </w:tcPr>
          <w:p w14:paraId="51408CFD" w14:textId="77777777" w:rsidR="003356CD" w:rsidRDefault="003356CD" w:rsidP="001209AF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Cat1B</w:t>
            </w:r>
          </w:p>
        </w:tc>
        <w:tc>
          <w:tcPr>
            <w:tcW w:w="2551" w:type="dxa"/>
            <w:vAlign w:val="center"/>
          </w:tcPr>
          <w:p w14:paraId="346DA1D9" w14:textId="77777777" w:rsidR="003356CD" w:rsidRDefault="003356CD" w:rsidP="001209AF">
            <w:pPr>
              <w:rPr>
                <w:rFonts w:eastAsiaTheme="minorEastAsia"/>
                <w:lang w:eastAsia="zh-CN"/>
              </w:rPr>
            </w:pPr>
            <w:r w:rsidRPr="009169ED">
              <w:rPr>
                <w:rFonts w:eastAsiaTheme="minorEastAsia"/>
                <w:lang w:eastAsia="zh-CN"/>
              </w:rPr>
              <w:t>stanford_area_2_vox16</w:t>
            </w:r>
          </w:p>
        </w:tc>
      </w:tr>
      <w:tr w:rsidR="003356CD" w14:paraId="1AB468BA" w14:textId="77777777" w:rsidTr="00007FB3">
        <w:trPr>
          <w:jc w:val="center"/>
        </w:trPr>
        <w:tc>
          <w:tcPr>
            <w:tcW w:w="1413" w:type="dxa"/>
            <w:vAlign w:val="center"/>
          </w:tcPr>
          <w:p w14:paraId="6ECB4F8F" w14:textId="77777777" w:rsidR="003356CD" w:rsidRDefault="003356CD" w:rsidP="001209AF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Cat1B</w:t>
            </w:r>
          </w:p>
        </w:tc>
        <w:tc>
          <w:tcPr>
            <w:tcW w:w="2551" w:type="dxa"/>
            <w:vAlign w:val="center"/>
          </w:tcPr>
          <w:p w14:paraId="08B8201B" w14:textId="77777777" w:rsidR="003356CD" w:rsidRDefault="003356CD" w:rsidP="001209AF">
            <w:pPr>
              <w:rPr>
                <w:rFonts w:eastAsiaTheme="minorEastAsia"/>
                <w:lang w:eastAsia="zh-CN"/>
              </w:rPr>
            </w:pPr>
            <w:r w:rsidRPr="009169ED">
              <w:rPr>
                <w:rFonts w:eastAsiaTheme="minorEastAsia"/>
                <w:lang w:eastAsia="zh-CN"/>
              </w:rPr>
              <w:t>ulb_unicorn_vox20</w:t>
            </w:r>
          </w:p>
        </w:tc>
      </w:tr>
      <w:tr w:rsidR="003356CD" w14:paraId="5ADE9993" w14:textId="77777777" w:rsidTr="00007FB3">
        <w:trPr>
          <w:jc w:val="center"/>
        </w:trPr>
        <w:tc>
          <w:tcPr>
            <w:tcW w:w="1413" w:type="dxa"/>
            <w:vAlign w:val="center"/>
          </w:tcPr>
          <w:p w14:paraId="162274E6" w14:textId="77777777" w:rsidR="003356CD" w:rsidRDefault="003356CD" w:rsidP="001209AF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Cat3-fused</w:t>
            </w:r>
          </w:p>
        </w:tc>
        <w:tc>
          <w:tcPr>
            <w:tcW w:w="2551" w:type="dxa"/>
            <w:vAlign w:val="center"/>
          </w:tcPr>
          <w:p w14:paraId="42EB606A" w14:textId="77777777" w:rsidR="003356CD" w:rsidRPr="009169ED" w:rsidRDefault="003356CD" w:rsidP="001209AF">
            <w:pPr>
              <w:rPr>
                <w:rFonts w:eastAsiaTheme="minorEastAsia"/>
                <w:lang w:eastAsia="zh-CN"/>
              </w:rPr>
            </w:pPr>
            <w:r w:rsidRPr="009169ED">
              <w:rPr>
                <w:rFonts w:eastAsiaTheme="minorEastAsia"/>
                <w:lang w:eastAsia="zh-CN"/>
              </w:rPr>
              <w:t>overpass_q1mm</w:t>
            </w:r>
          </w:p>
        </w:tc>
      </w:tr>
      <w:tr w:rsidR="0068739F" w14:paraId="63FA65AC" w14:textId="77777777" w:rsidTr="00007FB3">
        <w:trPr>
          <w:jc w:val="center"/>
        </w:trPr>
        <w:tc>
          <w:tcPr>
            <w:tcW w:w="1413" w:type="dxa"/>
            <w:vAlign w:val="center"/>
          </w:tcPr>
          <w:p w14:paraId="0F852E90" w14:textId="71446C6C" w:rsidR="0068739F" w:rsidRDefault="0068739F" w:rsidP="001209AF">
            <w:pPr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C</w:t>
            </w:r>
            <w:r>
              <w:rPr>
                <w:rFonts w:eastAsiaTheme="minorEastAsia"/>
                <w:lang w:eastAsia="zh-CN"/>
              </w:rPr>
              <w:t>at3-frame</w:t>
            </w:r>
          </w:p>
        </w:tc>
        <w:tc>
          <w:tcPr>
            <w:tcW w:w="2551" w:type="dxa"/>
            <w:vAlign w:val="center"/>
          </w:tcPr>
          <w:p w14:paraId="03580D14" w14:textId="3B475905" w:rsidR="0068739F" w:rsidRDefault="0068739F" w:rsidP="001209AF">
            <w:pPr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Ford_01_q1mm</w:t>
            </w:r>
          </w:p>
        </w:tc>
      </w:tr>
      <w:tr w:rsidR="00007FB3" w14:paraId="20E28720" w14:textId="77777777" w:rsidTr="00007FB3">
        <w:trPr>
          <w:jc w:val="center"/>
        </w:trPr>
        <w:tc>
          <w:tcPr>
            <w:tcW w:w="1413" w:type="dxa"/>
            <w:vAlign w:val="center"/>
          </w:tcPr>
          <w:p w14:paraId="486B43A7" w14:textId="232DC479" w:rsidR="00007FB3" w:rsidRDefault="00007FB3" w:rsidP="001209AF">
            <w:pPr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C</w:t>
            </w:r>
            <w:r>
              <w:rPr>
                <w:rFonts w:eastAsiaTheme="minorEastAsia"/>
                <w:lang w:eastAsia="zh-CN"/>
              </w:rPr>
              <w:t>at3-frame</w:t>
            </w:r>
          </w:p>
        </w:tc>
        <w:tc>
          <w:tcPr>
            <w:tcW w:w="2551" w:type="dxa"/>
            <w:vAlign w:val="center"/>
          </w:tcPr>
          <w:p w14:paraId="560F37F5" w14:textId="0D0C6FCD" w:rsidR="00007FB3" w:rsidRPr="009169ED" w:rsidRDefault="00007FB3" w:rsidP="001209AF">
            <w:pPr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q</w:t>
            </w:r>
            <w:r>
              <w:rPr>
                <w:rFonts w:eastAsiaTheme="minorEastAsia"/>
                <w:lang w:eastAsia="zh-CN"/>
              </w:rPr>
              <w:t>nx-junction-approach</w:t>
            </w:r>
          </w:p>
        </w:tc>
      </w:tr>
    </w:tbl>
    <w:p w14:paraId="20C4C842" w14:textId="73088F8B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lang w:val="en-GB"/>
        </w:rPr>
      </w:pPr>
    </w:p>
    <w:p w14:paraId="38434BAB" w14:textId="01780D39" w:rsidR="009224ED" w:rsidRPr="008D4625" w:rsidRDefault="009224ED" w:rsidP="009224ED">
      <w:pPr>
        <w:pStyle w:val="20"/>
        <w:rPr>
          <w:lang w:val="en-GB"/>
        </w:rPr>
      </w:pPr>
      <w:r w:rsidRPr="008D4625">
        <w:rPr>
          <w:lang w:val="en-GB"/>
        </w:rPr>
        <w:t>CE 13.</w:t>
      </w:r>
      <w:r w:rsidR="00C230C3">
        <w:rPr>
          <w:lang w:val="en-GB"/>
        </w:rPr>
        <w:t>29</w:t>
      </w:r>
      <w:r w:rsidRPr="008D4625">
        <w:rPr>
          <w:lang w:val="en-GB"/>
        </w:rPr>
        <w:t xml:space="preserve"> Coordinators</w:t>
      </w:r>
    </w:p>
    <w:p w14:paraId="08BAA1BC" w14:textId="3FAE82A4" w:rsidR="009224ED" w:rsidRPr="00EE476C" w:rsidRDefault="00C230C3" w:rsidP="009224ED">
      <w:pPr>
        <w:snapToGrid w:val="0"/>
        <w:spacing w:after="0"/>
        <w:outlineLvl w:val="0"/>
        <w:rPr>
          <w:lang w:val="fr-FR"/>
        </w:rPr>
      </w:pPr>
      <w:r>
        <w:rPr>
          <w:lang w:val="fr-FR"/>
        </w:rPr>
        <w:t>Wen Gao</w:t>
      </w:r>
      <w:r w:rsidR="009224ED" w:rsidRPr="00EE476C">
        <w:rPr>
          <w:lang w:val="fr-FR"/>
        </w:rPr>
        <w:t xml:space="preserve"> (</w:t>
      </w:r>
      <w:hyperlink r:id="rId13" w:history="1">
        <w:r w:rsidRPr="0072764C">
          <w:rPr>
            <w:rStyle w:val="ac"/>
            <w:lang w:val="fr-FR"/>
          </w:rPr>
          <w:t>wengao@tencent.com</w:t>
        </w:r>
      </w:hyperlink>
      <w:r w:rsidR="009224ED" w:rsidRPr="00EE476C">
        <w:rPr>
          <w:lang w:val="fr-FR"/>
        </w:rPr>
        <w:t xml:space="preserve">) </w:t>
      </w:r>
    </w:p>
    <w:p w14:paraId="7ADB6F20" w14:textId="77777777" w:rsidR="009224ED" w:rsidRPr="00EE476C" w:rsidRDefault="009224ED" w:rsidP="009224ED">
      <w:pPr>
        <w:spacing w:after="0"/>
        <w:rPr>
          <w:lang w:val="fr-FR"/>
        </w:rPr>
      </w:pPr>
    </w:p>
    <w:p w14:paraId="4F4329EB" w14:textId="77777777" w:rsidR="009224ED" w:rsidRPr="008D4625" w:rsidRDefault="009224ED" w:rsidP="009224ED">
      <w:pPr>
        <w:pStyle w:val="1"/>
        <w:rPr>
          <w:lang w:val="en-GB"/>
        </w:rPr>
      </w:pPr>
      <w:r w:rsidRPr="008D4625">
        <w:rPr>
          <w:lang w:val="en-GB"/>
        </w:rPr>
        <w:t>Timeline:</w:t>
      </w:r>
    </w:p>
    <w:p w14:paraId="3B20D98E" w14:textId="77777777" w:rsidR="00A151C4" w:rsidRPr="007855EB" w:rsidRDefault="00A151C4" w:rsidP="00A151C4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jc w:val="left"/>
        <w:outlineLvl w:val="0"/>
        <w:rPr>
          <w:lang w:val="en-GB"/>
        </w:rPr>
      </w:pPr>
      <w:bookmarkStart w:id="3" w:name="_Hlk527015368"/>
      <w:r w:rsidRPr="007855EB">
        <w:rPr>
          <w:b/>
          <w:lang w:val="en-GB"/>
        </w:rPr>
        <w:t>2020-01-31</w:t>
      </w:r>
      <w:r w:rsidRPr="007855EB">
        <w:rPr>
          <w:lang w:val="en-GB"/>
        </w:rPr>
        <w:t>: Expected date for TMC13v9 release;</w:t>
      </w:r>
    </w:p>
    <w:p w14:paraId="4079A0E2" w14:textId="02535282" w:rsidR="00A151C4" w:rsidRPr="003F10CF" w:rsidRDefault="00A151C4" w:rsidP="00A151C4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jc w:val="left"/>
        <w:outlineLvl w:val="0"/>
        <w:rPr>
          <w:lang w:val="en-GB"/>
        </w:rPr>
      </w:pPr>
      <w:r w:rsidRPr="003F10CF">
        <w:rPr>
          <w:b/>
          <w:lang w:val="en-GB"/>
        </w:rPr>
        <w:t>20</w:t>
      </w:r>
      <w:r>
        <w:rPr>
          <w:b/>
          <w:lang w:val="en-GB"/>
        </w:rPr>
        <w:t>20</w:t>
      </w:r>
      <w:r w:rsidRPr="003F10CF">
        <w:rPr>
          <w:b/>
          <w:lang w:val="en-GB"/>
        </w:rPr>
        <w:t>-</w:t>
      </w:r>
      <w:r>
        <w:rPr>
          <w:b/>
          <w:lang w:val="en-GB"/>
        </w:rPr>
        <w:t>03</w:t>
      </w:r>
      <w:r w:rsidRPr="003F10CF">
        <w:rPr>
          <w:b/>
          <w:lang w:val="en-GB"/>
        </w:rPr>
        <w:t>-</w:t>
      </w:r>
      <w:r>
        <w:rPr>
          <w:b/>
          <w:lang w:val="en-GB"/>
        </w:rPr>
        <w:t>20</w:t>
      </w:r>
      <w:r w:rsidRPr="003F10CF">
        <w:rPr>
          <w:b/>
          <w:lang w:val="en-GB"/>
        </w:rPr>
        <w:t xml:space="preserve"> [TMC13v</w:t>
      </w:r>
      <w:r w:rsidR="002E364C">
        <w:rPr>
          <w:b/>
          <w:lang w:val="en-GB"/>
        </w:rPr>
        <w:t>9</w:t>
      </w:r>
      <w:r w:rsidRPr="003F10CF">
        <w:rPr>
          <w:b/>
          <w:lang w:val="en-GB"/>
        </w:rPr>
        <w:t xml:space="preserve"> + </w:t>
      </w:r>
      <w:r>
        <w:rPr>
          <w:b/>
          <w:lang w:val="en-GB"/>
        </w:rPr>
        <w:t>7</w:t>
      </w:r>
      <w:r w:rsidRPr="003F10CF">
        <w:rPr>
          <w:b/>
          <w:lang w:val="en-GB"/>
        </w:rPr>
        <w:t xml:space="preserve"> weeks] </w:t>
      </w:r>
      <w:r w:rsidRPr="003F10CF">
        <w:rPr>
          <w:lang w:val="en-GB"/>
        </w:rPr>
        <w:t>Deliver source code and results for cross check;</w:t>
      </w:r>
    </w:p>
    <w:p w14:paraId="151DDFF6" w14:textId="3FAAD9B2" w:rsidR="00A151C4" w:rsidRPr="008033F3" w:rsidRDefault="00A151C4" w:rsidP="00A151C4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jc w:val="left"/>
        <w:outlineLvl w:val="0"/>
        <w:rPr>
          <w:lang w:val="en-GB"/>
        </w:rPr>
      </w:pPr>
      <w:r w:rsidRPr="003F10CF">
        <w:rPr>
          <w:b/>
          <w:lang w:val="en-GB"/>
        </w:rPr>
        <w:t>20</w:t>
      </w:r>
      <w:r>
        <w:rPr>
          <w:b/>
          <w:lang w:val="en-GB"/>
        </w:rPr>
        <w:t>20</w:t>
      </w:r>
      <w:r w:rsidRPr="003F10CF">
        <w:rPr>
          <w:b/>
          <w:lang w:val="en-GB"/>
        </w:rPr>
        <w:t>-</w:t>
      </w:r>
      <w:r>
        <w:rPr>
          <w:b/>
          <w:lang w:val="en-GB"/>
        </w:rPr>
        <w:t>04</w:t>
      </w:r>
      <w:r w:rsidRPr="003F10CF">
        <w:rPr>
          <w:b/>
          <w:lang w:val="en-GB"/>
        </w:rPr>
        <w:t>-</w:t>
      </w:r>
      <w:r>
        <w:rPr>
          <w:b/>
          <w:lang w:val="en-GB"/>
        </w:rPr>
        <w:t>03</w:t>
      </w:r>
      <w:r w:rsidRPr="003F10CF">
        <w:rPr>
          <w:b/>
          <w:lang w:val="en-GB"/>
        </w:rPr>
        <w:t xml:space="preserve"> [TMC13v</w:t>
      </w:r>
      <w:r w:rsidR="002E364C">
        <w:rPr>
          <w:b/>
          <w:lang w:val="en-GB"/>
        </w:rPr>
        <w:t>9</w:t>
      </w:r>
      <w:r w:rsidRPr="003F10CF">
        <w:rPr>
          <w:b/>
          <w:lang w:val="en-GB"/>
        </w:rPr>
        <w:t xml:space="preserve"> + </w:t>
      </w:r>
      <w:r>
        <w:rPr>
          <w:b/>
          <w:lang w:val="en-GB"/>
        </w:rPr>
        <w:t>9</w:t>
      </w:r>
      <w:r w:rsidRPr="003F10CF">
        <w:rPr>
          <w:b/>
          <w:lang w:val="en-GB"/>
        </w:rPr>
        <w:t xml:space="preserve"> weeks] </w:t>
      </w:r>
      <w:r w:rsidRPr="003F10CF">
        <w:rPr>
          <w:lang w:val="en-GB"/>
        </w:rPr>
        <w:t>Deliver</w:t>
      </w:r>
      <w:r w:rsidRPr="008033F3">
        <w:rPr>
          <w:lang w:val="en-GB"/>
        </w:rPr>
        <w:t xml:space="preserve"> cross check</w:t>
      </w:r>
      <w:r>
        <w:rPr>
          <w:lang w:val="en-GB"/>
        </w:rPr>
        <w:t xml:space="preserve"> results</w:t>
      </w:r>
      <w:r w:rsidRPr="008033F3">
        <w:rPr>
          <w:lang w:val="en-GB"/>
        </w:rPr>
        <w:t>;</w:t>
      </w:r>
    </w:p>
    <w:p w14:paraId="7E997632" w14:textId="3A68D358" w:rsidR="00A151C4" w:rsidRPr="00A151C4" w:rsidRDefault="00A151C4" w:rsidP="00A151C4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jc w:val="left"/>
        <w:outlineLvl w:val="0"/>
        <w:rPr>
          <w:lang w:val="en-GB"/>
        </w:rPr>
      </w:pPr>
      <w:r w:rsidRPr="00A151C4">
        <w:rPr>
          <w:b/>
          <w:lang w:val="en-GB"/>
        </w:rPr>
        <w:t>2020-04-15</w:t>
      </w:r>
      <w:r w:rsidRPr="00A151C4">
        <w:rPr>
          <w:lang w:val="en-GB"/>
        </w:rPr>
        <w:t>: MPEG document upload deadline.</w:t>
      </w:r>
    </w:p>
    <w:bookmarkEnd w:id="3"/>
    <w:p w14:paraId="32FAB4CC" w14:textId="77777777" w:rsidR="009224ED" w:rsidRPr="008D4625" w:rsidRDefault="009224ED" w:rsidP="009224ED">
      <w:pPr>
        <w:pStyle w:val="1"/>
        <w:rPr>
          <w:lang w:val="en-GB"/>
        </w:rPr>
      </w:pPr>
      <w:r w:rsidRPr="008D4625">
        <w:rPr>
          <w:lang w:val="en-GB"/>
        </w:rPr>
        <w:t>References</w:t>
      </w:r>
    </w:p>
    <w:p w14:paraId="31267E07" w14:textId="77777777" w:rsidR="0071799D" w:rsidRPr="00E3249E" w:rsidRDefault="009224ED" w:rsidP="0071799D">
      <w:pPr>
        <w:numPr>
          <w:ilvl w:val="0"/>
          <w:numId w:val="9"/>
        </w:numPr>
        <w:spacing w:after="0" w:line="256" w:lineRule="auto"/>
        <w:rPr>
          <w:lang w:val="en-GB"/>
        </w:rPr>
      </w:pPr>
      <w:bookmarkStart w:id="4" w:name="_Ref511838956"/>
      <w:bookmarkStart w:id="5" w:name="_Ref511839159"/>
      <w:bookmarkStart w:id="6" w:name="_Ref511915390"/>
      <w:bookmarkStart w:id="7" w:name="_Ref511739200"/>
      <w:r w:rsidRPr="008D4625">
        <w:rPr>
          <w:rFonts w:eastAsia="Malgun Gothic"/>
          <w:lang w:val="en-GB" w:eastAsia="ko-KR"/>
        </w:rPr>
        <w:t xml:space="preserve"> </w:t>
      </w:r>
      <w:bookmarkStart w:id="8" w:name="_Hlk14251763"/>
      <w:bookmarkEnd w:id="4"/>
      <w:bookmarkEnd w:id="5"/>
      <w:bookmarkEnd w:id="6"/>
      <w:r w:rsidR="0071799D" w:rsidRPr="007855EB">
        <w:rPr>
          <w:rFonts w:eastAsia="Malgun Gothic"/>
          <w:lang w:val="en-GB" w:eastAsia="ko-KR"/>
        </w:rPr>
        <w:t xml:space="preserve"> “</w:t>
      </w:r>
      <w:r w:rsidR="0071799D" w:rsidRPr="007855EB">
        <w:rPr>
          <w:rFonts w:eastAsia="Malgun Gothic"/>
          <w:i/>
          <w:lang w:val="en-GB" w:eastAsia="ko-KR"/>
        </w:rPr>
        <w:t>G-PCC Test Model v9</w:t>
      </w:r>
      <w:r w:rsidR="0071799D" w:rsidRPr="007855EB">
        <w:rPr>
          <w:rFonts w:eastAsia="Malgun Gothic"/>
          <w:lang w:val="en-GB" w:eastAsia="ko-KR"/>
        </w:rPr>
        <w:t xml:space="preserve">”, </w:t>
      </w:r>
      <w:r w:rsidR="0071799D" w:rsidRPr="007855EB">
        <w:rPr>
          <w:szCs w:val="28"/>
          <w:lang w:val="en-GB" w:eastAsia="ko-KR"/>
        </w:rPr>
        <w:t>ISO/IEC JTC1/SC29/WG11 Doc.</w:t>
      </w:r>
      <w:r w:rsidR="0071799D" w:rsidRPr="007855EB">
        <w:rPr>
          <w:rFonts w:eastAsia="Malgun Gothic"/>
          <w:lang w:val="en-GB" w:eastAsia="ko-KR"/>
        </w:rPr>
        <w:t xml:space="preserve"> N19083, </w:t>
      </w:r>
      <w:r w:rsidR="0071799D" w:rsidRPr="007855EB">
        <w:rPr>
          <w:lang w:val="en-GB" w:eastAsia="ko-KR"/>
        </w:rPr>
        <w:t xml:space="preserve">Brussels, Belgium, </w:t>
      </w:r>
      <w:r w:rsidR="0071799D" w:rsidRPr="00E3249E">
        <w:rPr>
          <w:lang w:val="en-GB" w:eastAsia="ko-KR"/>
        </w:rPr>
        <w:t>January 2020</w:t>
      </w:r>
    </w:p>
    <w:p w14:paraId="4F6CF0BF" w14:textId="52D75491" w:rsidR="0071799D" w:rsidRPr="00E3249E" w:rsidRDefault="0071799D" w:rsidP="008A4248">
      <w:pPr>
        <w:numPr>
          <w:ilvl w:val="0"/>
          <w:numId w:val="9"/>
        </w:numPr>
        <w:spacing w:after="0" w:line="256" w:lineRule="auto"/>
        <w:rPr>
          <w:lang w:val="en-GB" w:eastAsia="ko-KR"/>
        </w:rPr>
      </w:pPr>
      <w:r w:rsidRPr="00E3249E">
        <w:rPr>
          <w:rFonts w:eastAsia="Malgun Gothic"/>
          <w:lang w:val="en-GB" w:eastAsia="ko-KR"/>
        </w:rPr>
        <w:t>“</w:t>
      </w:r>
      <w:r w:rsidR="00BB6EDB" w:rsidRPr="00E3249E">
        <w:rPr>
          <w:rFonts w:eastAsia="Malgun Gothic"/>
          <w:i/>
          <w:lang w:val="en-GB" w:eastAsia="ko-KR"/>
        </w:rPr>
        <w:t>Text of ISO/IEC 23090-9 DIS Geometry-based PCC</w:t>
      </w:r>
      <w:r w:rsidRPr="00E3249E">
        <w:rPr>
          <w:rFonts w:eastAsia="Malgun Gothic"/>
          <w:lang w:val="en-GB" w:eastAsia="ko-KR"/>
        </w:rPr>
        <w:t xml:space="preserve">”, </w:t>
      </w:r>
      <w:r w:rsidRPr="00E3249E">
        <w:rPr>
          <w:szCs w:val="28"/>
          <w:lang w:val="en-GB" w:eastAsia="ko-KR"/>
        </w:rPr>
        <w:t>ISO/IEC JTC1/SC29/WG11 MPEG2019 Doc.</w:t>
      </w:r>
      <w:r w:rsidRPr="00E3249E">
        <w:rPr>
          <w:rFonts w:eastAsia="Malgun Gothic"/>
          <w:lang w:val="en-GB" w:eastAsia="ko-KR"/>
        </w:rPr>
        <w:t xml:space="preserve"> w1</w:t>
      </w:r>
      <w:r w:rsidR="00E3249E" w:rsidRPr="00E3249E">
        <w:rPr>
          <w:rFonts w:eastAsia="Malgun Gothic"/>
          <w:lang w:val="en-GB" w:eastAsia="ko-KR"/>
        </w:rPr>
        <w:t>9088</w:t>
      </w:r>
      <w:r w:rsidRPr="00E3249E">
        <w:rPr>
          <w:rFonts w:eastAsia="Malgun Gothic"/>
          <w:lang w:val="en-GB" w:eastAsia="ko-KR"/>
        </w:rPr>
        <w:t xml:space="preserve">, </w:t>
      </w:r>
      <w:r w:rsidR="00E3249E" w:rsidRPr="00E3249E">
        <w:rPr>
          <w:lang w:val="en-GB" w:eastAsia="ko-KR"/>
        </w:rPr>
        <w:t>Brussels, Belgium, January 2020</w:t>
      </w:r>
    </w:p>
    <w:p w14:paraId="2CBD9B4D" w14:textId="00FB9AC4" w:rsidR="0071799D" w:rsidRPr="00E3249E" w:rsidRDefault="0071799D" w:rsidP="0071799D">
      <w:pPr>
        <w:pStyle w:val="ae"/>
        <w:numPr>
          <w:ilvl w:val="0"/>
          <w:numId w:val="9"/>
        </w:numPr>
        <w:rPr>
          <w:lang w:val="en-GB" w:eastAsia="ko-KR"/>
        </w:rPr>
      </w:pPr>
      <w:r w:rsidRPr="00E3249E">
        <w:rPr>
          <w:lang w:val="en-GB" w:eastAsia="ko-KR"/>
        </w:rPr>
        <w:t>“</w:t>
      </w:r>
      <w:r w:rsidRPr="00E3249E">
        <w:rPr>
          <w:i/>
          <w:lang w:val="en-GB" w:eastAsia="ko-KR"/>
        </w:rPr>
        <w:t>Common Test Conditions for PCC</w:t>
      </w:r>
      <w:r w:rsidRPr="00E3249E">
        <w:rPr>
          <w:lang w:val="en-GB" w:eastAsia="ko-KR"/>
        </w:rPr>
        <w:t>” ISO/IEC JTC1/SC29/WG11</w:t>
      </w:r>
      <w:r w:rsidRPr="00E3249E">
        <w:rPr>
          <w:szCs w:val="28"/>
          <w:lang w:val="en-GB" w:eastAsia="ko-KR"/>
        </w:rPr>
        <w:t xml:space="preserve"> </w:t>
      </w:r>
      <w:r w:rsidRPr="00E3249E">
        <w:rPr>
          <w:rFonts w:eastAsia="Malgun Gothic"/>
          <w:lang w:val="en-GB" w:eastAsia="ko-KR"/>
        </w:rPr>
        <w:t xml:space="preserve">N19084, </w:t>
      </w:r>
      <w:r w:rsidRPr="00E3249E">
        <w:rPr>
          <w:lang w:val="en-GB" w:eastAsia="ko-KR"/>
        </w:rPr>
        <w:t>Brussels, Belgium, January 2020</w:t>
      </w:r>
    </w:p>
    <w:bookmarkEnd w:id="7"/>
    <w:bookmarkEnd w:id="8"/>
    <w:p w14:paraId="56F6BBB7" w14:textId="296609A7" w:rsidR="009224ED" w:rsidRDefault="00411150" w:rsidP="009224ED">
      <w:pPr>
        <w:numPr>
          <w:ilvl w:val="0"/>
          <w:numId w:val="9"/>
        </w:numPr>
        <w:spacing w:after="0" w:line="256" w:lineRule="auto"/>
        <w:rPr>
          <w:lang w:val="en-GB"/>
        </w:rPr>
      </w:pPr>
      <w:r>
        <w:rPr>
          <w:lang w:val="en-GB"/>
        </w:rPr>
        <w:t>“</w:t>
      </w:r>
      <w:r w:rsidR="00C230C3" w:rsidRPr="00007FB3">
        <w:rPr>
          <w:i/>
          <w:iCs/>
          <w:lang w:val="en-GB"/>
        </w:rPr>
        <w:t>G-PCC: Integer step sizes for in-tree geometry quantisation</w:t>
      </w:r>
      <w:r w:rsidR="00C230C3">
        <w:rPr>
          <w:lang w:val="en-GB"/>
        </w:rPr>
        <w:t xml:space="preserve">”, </w:t>
      </w:r>
      <w:r w:rsidR="00C230C3" w:rsidRPr="007855EB">
        <w:rPr>
          <w:szCs w:val="28"/>
          <w:lang w:val="en-GB" w:eastAsia="ko-KR"/>
        </w:rPr>
        <w:t xml:space="preserve">ISO/IEC JTC1/SC29/WG11 </w:t>
      </w:r>
      <w:r w:rsidR="00F927FF">
        <w:rPr>
          <w:szCs w:val="28"/>
          <w:lang w:val="en-GB" w:eastAsia="ko-KR"/>
        </w:rPr>
        <w:t xml:space="preserve">MPEG2020 </w:t>
      </w:r>
      <w:r w:rsidR="00C230C3" w:rsidRPr="007855EB">
        <w:rPr>
          <w:szCs w:val="28"/>
          <w:lang w:val="en-GB" w:eastAsia="ko-KR"/>
        </w:rPr>
        <w:t>Doc.</w:t>
      </w:r>
      <w:r w:rsidR="00C230C3" w:rsidRPr="007855EB">
        <w:rPr>
          <w:rFonts w:eastAsia="Malgun Gothic"/>
          <w:lang w:val="en-GB" w:eastAsia="ko-KR"/>
        </w:rPr>
        <w:t xml:space="preserve"> </w:t>
      </w:r>
      <w:r w:rsidR="00C230C3">
        <w:rPr>
          <w:rFonts w:eastAsia="Malgun Gothic"/>
          <w:lang w:val="en-GB" w:eastAsia="ko-KR"/>
        </w:rPr>
        <w:t xml:space="preserve"> </w:t>
      </w:r>
      <w:r w:rsidR="00667F1A" w:rsidRPr="00E3249E">
        <w:rPr>
          <w:lang w:val="en-GB"/>
        </w:rPr>
        <w:t>m5</w:t>
      </w:r>
      <w:r w:rsidR="00C230C3">
        <w:rPr>
          <w:lang w:val="en-GB"/>
        </w:rPr>
        <w:t>2522</w:t>
      </w:r>
      <w:r w:rsidR="00667F1A" w:rsidRPr="00E3249E">
        <w:rPr>
          <w:lang w:val="en-GB"/>
        </w:rPr>
        <w:t xml:space="preserve">, </w:t>
      </w:r>
      <w:r w:rsidR="00F927FF" w:rsidRPr="00E3249E">
        <w:rPr>
          <w:lang w:val="en-GB" w:eastAsia="ko-KR"/>
        </w:rPr>
        <w:t>Brussels, Belgium, January 2020</w:t>
      </w:r>
    </w:p>
    <w:p w14:paraId="4A8D2150" w14:textId="6C8A6297" w:rsidR="00A759F9" w:rsidRPr="00E3249E" w:rsidRDefault="00A759F9" w:rsidP="009224ED">
      <w:pPr>
        <w:numPr>
          <w:ilvl w:val="0"/>
          <w:numId w:val="9"/>
        </w:numPr>
        <w:spacing w:after="0" w:line="256" w:lineRule="auto"/>
        <w:rPr>
          <w:lang w:val="en-GB"/>
        </w:rPr>
      </w:pPr>
      <w:r>
        <w:rPr>
          <w:lang w:val="en-GB"/>
        </w:rPr>
        <w:t>“</w:t>
      </w:r>
      <w:r w:rsidR="00007FB3" w:rsidRPr="00007FB3">
        <w:rPr>
          <w:i/>
          <w:iCs/>
          <w:lang w:val="en-GB"/>
        </w:rPr>
        <w:t>G-PCC:</w:t>
      </w:r>
      <w:r w:rsidR="00007FB3">
        <w:rPr>
          <w:i/>
          <w:iCs/>
          <w:lang w:val="en-GB"/>
        </w:rPr>
        <w:t xml:space="preserve"> </w:t>
      </w:r>
      <w:r w:rsidR="00007FB3" w:rsidRPr="00007FB3">
        <w:rPr>
          <w:i/>
          <w:iCs/>
          <w:lang w:val="en-GB"/>
        </w:rPr>
        <w:t>An IDCM specific QP for in-tree geometry quantisation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”</w:t>
      </w:r>
      <w:r>
        <w:rPr>
          <w:i/>
          <w:lang w:val="en-GB"/>
        </w:rPr>
        <w:t xml:space="preserve">, </w:t>
      </w:r>
      <w:r w:rsidRPr="0085246A">
        <w:rPr>
          <w:szCs w:val="28"/>
          <w:lang w:val="en-GB" w:eastAsia="ko-KR"/>
        </w:rPr>
        <w:t>ISO/IEC</w:t>
      </w:r>
      <w:r w:rsidR="002761E0">
        <w:rPr>
          <w:szCs w:val="28"/>
          <w:lang w:val="en-GB" w:eastAsia="ko-KR"/>
        </w:rPr>
        <w:t xml:space="preserve"> </w:t>
      </w:r>
      <w:bookmarkStart w:id="9" w:name="_GoBack"/>
      <w:bookmarkEnd w:id="9"/>
      <w:r w:rsidRPr="0085246A">
        <w:rPr>
          <w:szCs w:val="28"/>
          <w:lang w:val="en-GB" w:eastAsia="ko-KR"/>
        </w:rPr>
        <w:t>JTC1/SC29/WG11 MPEG20</w:t>
      </w:r>
      <w:r w:rsidR="00007FB3">
        <w:rPr>
          <w:szCs w:val="28"/>
          <w:lang w:val="en-GB" w:eastAsia="ko-KR"/>
        </w:rPr>
        <w:t>20</w:t>
      </w:r>
      <w:r w:rsidRPr="0085246A">
        <w:rPr>
          <w:szCs w:val="28"/>
          <w:lang w:val="en-GB" w:eastAsia="ko-KR"/>
        </w:rPr>
        <w:t xml:space="preserve"> Doc.</w:t>
      </w:r>
      <w:r>
        <w:rPr>
          <w:szCs w:val="28"/>
          <w:lang w:val="en-GB" w:eastAsia="ko-KR"/>
        </w:rPr>
        <w:t xml:space="preserve"> </w:t>
      </w:r>
      <w:r>
        <w:rPr>
          <w:lang w:val="en-GB"/>
        </w:rPr>
        <w:t>m5</w:t>
      </w:r>
      <w:r w:rsidR="00007FB3">
        <w:rPr>
          <w:lang w:val="en-GB"/>
        </w:rPr>
        <w:t>2523</w:t>
      </w:r>
      <w:r>
        <w:rPr>
          <w:lang w:val="en-GB"/>
        </w:rPr>
        <w:t xml:space="preserve">, </w:t>
      </w:r>
      <w:r w:rsidR="00007FB3" w:rsidRPr="00E3249E">
        <w:rPr>
          <w:lang w:val="en-GB" w:eastAsia="ko-KR"/>
        </w:rPr>
        <w:t>Brussels, Belgium, January 2020</w:t>
      </w:r>
    </w:p>
    <w:p w14:paraId="698C69FE" w14:textId="61972675" w:rsidR="00F927FF" w:rsidRDefault="00F927FF" w:rsidP="00F927FF">
      <w:pPr>
        <w:pStyle w:val="ae"/>
        <w:numPr>
          <w:ilvl w:val="0"/>
          <w:numId w:val="9"/>
        </w:numPr>
        <w:rPr>
          <w:lang w:val="en-GB" w:eastAsia="ko-KR"/>
        </w:rPr>
      </w:pPr>
      <w:r>
        <w:rPr>
          <w:lang w:val="en-GB"/>
        </w:rPr>
        <w:t>“</w:t>
      </w:r>
      <w:r w:rsidRPr="00EA0202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EE13.6 report on geometry </w:t>
      </w:r>
      <w:r w:rsidR="002761E0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quantization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”</w:t>
      </w:r>
      <w:r w:rsidRPr="0085246A">
        <w:rPr>
          <w:i/>
          <w:lang w:val="en-GB"/>
        </w:rPr>
        <w:t xml:space="preserve">, </w:t>
      </w:r>
      <w:r w:rsidRPr="0085246A">
        <w:rPr>
          <w:szCs w:val="28"/>
          <w:lang w:val="en-GB" w:eastAsia="ko-KR"/>
        </w:rPr>
        <w:t>ISO/IEC JTC1/SC29/WG11 MPEG2019 Doc.</w:t>
      </w:r>
      <w:r w:rsidRPr="0085246A">
        <w:rPr>
          <w:rFonts w:eastAsia="Malgun Gothic"/>
          <w:lang w:val="en-GB" w:eastAsia="ko-KR"/>
        </w:rPr>
        <w:t xml:space="preserve"> </w:t>
      </w:r>
      <w:r>
        <w:rPr>
          <w:lang w:val="en-GB"/>
        </w:rPr>
        <w:t xml:space="preserve">m50924, </w:t>
      </w:r>
      <w:r w:rsidRPr="00EA0202">
        <w:rPr>
          <w:lang w:val="en-GB" w:eastAsia="ko-KR"/>
        </w:rPr>
        <w:t>Geneva, Switzerland, October 2019</w:t>
      </w:r>
    </w:p>
    <w:p w14:paraId="4ACB304E" w14:textId="0B614F81" w:rsidR="00F927FF" w:rsidRPr="00D53175" w:rsidRDefault="00F927FF" w:rsidP="00F927FF">
      <w:pPr>
        <w:pStyle w:val="ae"/>
        <w:numPr>
          <w:ilvl w:val="0"/>
          <w:numId w:val="9"/>
        </w:numPr>
        <w:rPr>
          <w:lang w:val="en-GB" w:eastAsia="ko-KR"/>
        </w:rPr>
      </w:pPr>
      <w:r>
        <w:rPr>
          <w:lang w:val="en-GB"/>
        </w:rPr>
        <w:t xml:space="preserve"> “</w:t>
      </w:r>
      <w:r>
        <w:rPr>
          <w:rFonts w:eastAsia="Malgun Gothic"/>
          <w:i/>
          <w:lang w:val="en-GB" w:eastAsia="ko-KR"/>
        </w:rPr>
        <w:t>S</w:t>
      </w:r>
      <w:r w:rsidRPr="005F44C7">
        <w:rPr>
          <w:rFonts w:eastAsia="Malgun Gothic"/>
          <w:i/>
          <w:lang w:val="en-GB" w:eastAsia="ko-KR"/>
        </w:rPr>
        <w:t xml:space="preserve">lice based geometry </w:t>
      </w:r>
      <w:r w:rsidR="002761E0">
        <w:rPr>
          <w:rFonts w:eastAsia="Malgun Gothic"/>
          <w:i/>
          <w:lang w:val="en-GB" w:eastAsia="ko-KR"/>
        </w:rPr>
        <w:t>quantization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”</w:t>
      </w:r>
      <w:r>
        <w:rPr>
          <w:i/>
          <w:lang w:val="en-GB"/>
        </w:rPr>
        <w:t xml:space="preserve">, </w:t>
      </w:r>
      <w:r w:rsidRPr="0085246A">
        <w:rPr>
          <w:szCs w:val="28"/>
          <w:lang w:val="en-GB" w:eastAsia="ko-KR"/>
        </w:rPr>
        <w:t>ISO/IEC JTC1/SC29/WG11 MPEG2019 Doc.</w:t>
      </w:r>
      <w:r>
        <w:rPr>
          <w:szCs w:val="28"/>
          <w:lang w:val="en-GB" w:eastAsia="ko-KR"/>
        </w:rPr>
        <w:t xml:space="preserve"> </w:t>
      </w:r>
      <w:r>
        <w:rPr>
          <w:lang w:val="en-GB"/>
        </w:rPr>
        <w:t xml:space="preserve">m50927, </w:t>
      </w:r>
      <w:r w:rsidRPr="00EA0202">
        <w:rPr>
          <w:lang w:val="en-GB" w:eastAsia="ko-KR"/>
        </w:rPr>
        <w:t>Geneva, Switzerland, October 2019</w:t>
      </w:r>
    </w:p>
    <w:p w14:paraId="18CCC19C" w14:textId="693D239F" w:rsidR="005573CA" w:rsidRPr="00007FB3" w:rsidRDefault="005573CA" w:rsidP="00F927FF">
      <w:pPr>
        <w:spacing w:after="0" w:line="256" w:lineRule="auto"/>
        <w:ind w:left="360"/>
      </w:pPr>
    </w:p>
    <w:sectPr w:rsidR="005573CA" w:rsidRPr="00007FB3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438E6" w14:textId="77777777" w:rsidR="0059319B" w:rsidRDefault="0059319B" w:rsidP="00A759F9">
      <w:pPr>
        <w:spacing w:after="0" w:line="240" w:lineRule="auto"/>
      </w:pPr>
      <w:r>
        <w:separator/>
      </w:r>
    </w:p>
  </w:endnote>
  <w:endnote w:type="continuationSeparator" w:id="0">
    <w:p w14:paraId="74A4F0A4" w14:textId="77777777" w:rsidR="0059319B" w:rsidRDefault="0059319B" w:rsidP="00A75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17F0E" w14:textId="77777777" w:rsidR="0059319B" w:rsidRDefault="0059319B" w:rsidP="00A759F9">
      <w:pPr>
        <w:spacing w:after="0" w:line="240" w:lineRule="auto"/>
      </w:pPr>
      <w:r>
        <w:separator/>
      </w:r>
    </w:p>
  </w:footnote>
  <w:footnote w:type="continuationSeparator" w:id="0">
    <w:p w14:paraId="41B1064A" w14:textId="77777777" w:rsidR="0059319B" w:rsidRDefault="0059319B" w:rsidP="00A75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1BF"/>
    <w:multiLevelType w:val="hybridMultilevel"/>
    <w:tmpl w:val="C28ADEB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8BF3D6E"/>
    <w:multiLevelType w:val="multilevel"/>
    <w:tmpl w:val="BF0E2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A5F51"/>
    <w:multiLevelType w:val="hybridMultilevel"/>
    <w:tmpl w:val="D21C10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14506"/>
    <w:multiLevelType w:val="hybridMultilevel"/>
    <w:tmpl w:val="612A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7D4433"/>
    <w:multiLevelType w:val="multilevel"/>
    <w:tmpl w:val="387D4433"/>
    <w:lvl w:ilvl="0" w:tentative="1">
      <w:start w:val="1"/>
      <w:numFmt w:val="bullet"/>
      <w:pStyle w:val="a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3FE878C7"/>
    <w:multiLevelType w:val="hybridMultilevel"/>
    <w:tmpl w:val="87DA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8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1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3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5EC31DF0"/>
    <w:multiLevelType w:val="hybridMultilevel"/>
    <w:tmpl w:val="863415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34068"/>
    <w:multiLevelType w:val="multilevel"/>
    <w:tmpl w:val="4E7EC3A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6A316A0"/>
    <w:multiLevelType w:val="hybridMultilevel"/>
    <w:tmpl w:val="95D0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9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9"/>
  </w:num>
  <w:num w:numId="3">
    <w:abstractNumId w:val="16"/>
  </w:num>
  <w:num w:numId="4">
    <w:abstractNumId w:val="17"/>
  </w:num>
  <w:num w:numId="5">
    <w:abstractNumId w:val="18"/>
  </w:num>
  <w:num w:numId="6">
    <w:abstractNumId w:val="29"/>
  </w:num>
  <w:num w:numId="7">
    <w:abstractNumId w:val="10"/>
  </w:num>
  <w:num w:numId="8">
    <w:abstractNumId w:val="23"/>
  </w:num>
  <w:num w:numId="9">
    <w:abstractNumId w:val="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13"/>
  </w:num>
  <w:num w:numId="15">
    <w:abstractNumId w:val="14"/>
  </w:num>
  <w:num w:numId="16">
    <w:abstractNumId w:val="15"/>
  </w:num>
  <w:num w:numId="17">
    <w:abstractNumId w:val="28"/>
  </w:num>
  <w:num w:numId="18">
    <w:abstractNumId w:val="26"/>
  </w:num>
  <w:num w:numId="19">
    <w:abstractNumId w:val="6"/>
  </w:num>
  <w:num w:numId="20">
    <w:abstractNumId w:val="5"/>
  </w:num>
  <w:num w:numId="21">
    <w:abstractNumId w:val="3"/>
  </w:num>
  <w:num w:numId="22">
    <w:abstractNumId w:val="25"/>
  </w:num>
  <w:num w:numId="23">
    <w:abstractNumId w:val="26"/>
  </w:num>
  <w:num w:numId="24">
    <w:abstractNumId w:val="26"/>
  </w:num>
  <w:num w:numId="25">
    <w:abstractNumId w:val="26"/>
  </w:num>
  <w:num w:numId="26">
    <w:abstractNumId w:val="26"/>
  </w:num>
  <w:num w:numId="27">
    <w:abstractNumId w:val="2"/>
  </w:num>
  <w:num w:numId="28">
    <w:abstractNumId w:val="0"/>
  </w:num>
  <w:num w:numId="29">
    <w:abstractNumId w:val="11"/>
  </w:num>
  <w:num w:numId="30">
    <w:abstractNumId w:val="27"/>
  </w:num>
  <w:num w:numId="31">
    <w:abstractNumId w:val="12"/>
  </w:num>
  <w:num w:numId="32">
    <w:abstractNumId w:val="7"/>
  </w:num>
  <w:num w:numId="33">
    <w:abstractNumId w:val="1"/>
  </w:num>
  <w:num w:numId="34">
    <w:abstractNumId w:val="26"/>
  </w:num>
  <w:num w:numId="35">
    <w:abstractNumId w:val="24"/>
  </w:num>
  <w:num w:numId="36">
    <w:abstractNumId w:val="4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3269"/>
    <w:rsid w:val="00006052"/>
    <w:rsid w:val="00007FB3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206B"/>
    <w:rsid w:val="00166AB5"/>
    <w:rsid w:val="001670D0"/>
    <w:rsid w:val="001732A4"/>
    <w:rsid w:val="00192466"/>
    <w:rsid w:val="00194387"/>
    <w:rsid w:val="001A1CFA"/>
    <w:rsid w:val="001A341E"/>
    <w:rsid w:val="001B0B01"/>
    <w:rsid w:val="001B54A2"/>
    <w:rsid w:val="001B65DF"/>
    <w:rsid w:val="001B6D1D"/>
    <w:rsid w:val="001C5693"/>
    <w:rsid w:val="001D3FE8"/>
    <w:rsid w:val="001D6726"/>
    <w:rsid w:val="001E1E72"/>
    <w:rsid w:val="001E364B"/>
    <w:rsid w:val="001E42A2"/>
    <w:rsid w:val="001E475E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50FD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1E0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A6243"/>
    <w:rsid w:val="002C3B9A"/>
    <w:rsid w:val="002D2770"/>
    <w:rsid w:val="002E364C"/>
    <w:rsid w:val="002E67C7"/>
    <w:rsid w:val="002F0377"/>
    <w:rsid w:val="002F204F"/>
    <w:rsid w:val="002F6770"/>
    <w:rsid w:val="002F75B3"/>
    <w:rsid w:val="00304951"/>
    <w:rsid w:val="00310EF0"/>
    <w:rsid w:val="0031119C"/>
    <w:rsid w:val="0031458E"/>
    <w:rsid w:val="0031459D"/>
    <w:rsid w:val="00314D77"/>
    <w:rsid w:val="00321707"/>
    <w:rsid w:val="00324AF0"/>
    <w:rsid w:val="00333CA9"/>
    <w:rsid w:val="003356CD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0CF"/>
    <w:rsid w:val="003F1634"/>
    <w:rsid w:val="003F482F"/>
    <w:rsid w:val="00411150"/>
    <w:rsid w:val="004148A5"/>
    <w:rsid w:val="00441511"/>
    <w:rsid w:val="0044172D"/>
    <w:rsid w:val="0044289E"/>
    <w:rsid w:val="00451127"/>
    <w:rsid w:val="004539A2"/>
    <w:rsid w:val="004675AC"/>
    <w:rsid w:val="0047017A"/>
    <w:rsid w:val="00473034"/>
    <w:rsid w:val="004741F7"/>
    <w:rsid w:val="00476542"/>
    <w:rsid w:val="00477F71"/>
    <w:rsid w:val="004851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67DA"/>
    <w:rsid w:val="004D76BE"/>
    <w:rsid w:val="004E0088"/>
    <w:rsid w:val="004E092A"/>
    <w:rsid w:val="004E0986"/>
    <w:rsid w:val="004E21C0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3CA"/>
    <w:rsid w:val="00557EA4"/>
    <w:rsid w:val="005762E6"/>
    <w:rsid w:val="0059033B"/>
    <w:rsid w:val="00591D25"/>
    <w:rsid w:val="0059319B"/>
    <w:rsid w:val="00597653"/>
    <w:rsid w:val="005A0E6B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26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3E91"/>
    <w:rsid w:val="00635C39"/>
    <w:rsid w:val="00635FFC"/>
    <w:rsid w:val="00646810"/>
    <w:rsid w:val="00657181"/>
    <w:rsid w:val="00660219"/>
    <w:rsid w:val="0066450F"/>
    <w:rsid w:val="00666804"/>
    <w:rsid w:val="00667F1A"/>
    <w:rsid w:val="00672465"/>
    <w:rsid w:val="00673372"/>
    <w:rsid w:val="00680873"/>
    <w:rsid w:val="00682592"/>
    <w:rsid w:val="00684C44"/>
    <w:rsid w:val="0068739F"/>
    <w:rsid w:val="006905CA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D4A12"/>
    <w:rsid w:val="006E7A9B"/>
    <w:rsid w:val="006F5F4D"/>
    <w:rsid w:val="007063C8"/>
    <w:rsid w:val="00706FFA"/>
    <w:rsid w:val="0071081E"/>
    <w:rsid w:val="007128C9"/>
    <w:rsid w:val="00715460"/>
    <w:rsid w:val="0071799D"/>
    <w:rsid w:val="00717C7C"/>
    <w:rsid w:val="00721E5C"/>
    <w:rsid w:val="0073338A"/>
    <w:rsid w:val="00735201"/>
    <w:rsid w:val="00740DEC"/>
    <w:rsid w:val="00743FC3"/>
    <w:rsid w:val="00744D39"/>
    <w:rsid w:val="0074513B"/>
    <w:rsid w:val="00756757"/>
    <w:rsid w:val="0075679E"/>
    <w:rsid w:val="00762737"/>
    <w:rsid w:val="007636E6"/>
    <w:rsid w:val="007702A2"/>
    <w:rsid w:val="00771B59"/>
    <w:rsid w:val="00771D96"/>
    <w:rsid w:val="0078273B"/>
    <w:rsid w:val="00783B00"/>
    <w:rsid w:val="00790294"/>
    <w:rsid w:val="00791046"/>
    <w:rsid w:val="00793B76"/>
    <w:rsid w:val="0079500F"/>
    <w:rsid w:val="007A049F"/>
    <w:rsid w:val="007A188A"/>
    <w:rsid w:val="007A5D7D"/>
    <w:rsid w:val="007B5362"/>
    <w:rsid w:val="007C4D6D"/>
    <w:rsid w:val="007C604D"/>
    <w:rsid w:val="007C7C65"/>
    <w:rsid w:val="007D476D"/>
    <w:rsid w:val="007E042E"/>
    <w:rsid w:val="007E71B3"/>
    <w:rsid w:val="007F14C0"/>
    <w:rsid w:val="008033F3"/>
    <w:rsid w:val="00805B31"/>
    <w:rsid w:val="00807543"/>
    <w:rsid w:val="00816448"/>
    <w:rsid w:val="008166B8"/>
    <w:rsid w:val="00817FC4"/>
    <w:rsid w:val="008365D6"/>
    <w:rsid w:val="008422DB"/>
    <w:rsid w:val="00846D9B"/>
    <w:rsid w:val="008551C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D7173"/>
    <w:rsid w:val="008E0CFB"/>
    <w:rsid w:val="008E0FBA"/>
    <w:rsid w:val="008E3546"/>
    <w:rsid w:val="008E5BBC"/>
    <w:rsid w:val="008E6994"/>
    <w:rsid w:val="008F01AF"/>
    <w:rsid w:val="008F63E8"/>
    <w:rsid w:val="00917D8C"/>
    <w:rsid w:val="009224ED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838C1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399E"/>
    <w:rsid w:val="009F7648"/>
    <w:rsid w:val="00A003FF"/>
    <w:rsid w:val="00A03DEF"/>
    <w:rsid w:val="00A051AF"/>
    <w:rsid w:val="00A12395"/>
    <w:rsid w:val="00A13CD8"/>
    <w:rsid w:val="00A151C4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759F9"/>
    <w:rsid w:val="00A85EED"/>
    <w:rsid w:val="00A9079A"/>
    <w:rsid w:val="00A91155"/>
    <w:rsid w:val="00A96422"/>
    <w:rsid w:val="00A977F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A1130"/>
    <w:rsid w:val="00BB11BD"/>
    <w:rsid w:val="00BB2813"/>
    <w:rsid w:val="00BB3449"/>
    <w:rsid w:val="00BB400B"/>
    <w:rsid w:val="00BB4800"/>
    <w:rsid w:val="00BB6EDB"/>
    <w:rsid w:val="00BC2190"/>
    <w:rsid w:val="00BC6791"/>
    <w:rsid w:val="00BD4384"/>
    <w:rsid w:val="00BD5F23"/>
    <w:rsid w:val="00BE6ED3"/>
    <w:rsid w:val="00BF3F37"/>
    <w:rsid w:val="00BF483A"/>
    <w:rsid w:val="00C012D1"/>
    <w:rsid w:val="00C10403"/>
    <w:rsid w:val="00C206F6"/>
    <w:rsid w:val="00C230C3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1B24"/>
    <w:rsid w:val="00C92880"/>
    <w:rsid w:val="00C95CEF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3935"/>
    <w:rsid w:val="00D140E6"/>
    <w:rsid w:val="00D154F7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1A7B"/>
    <w:rsid w:val="00D95C92"/>
    <w:rsid w:val="00D9612D"/>
    <w:rsid w:val="00D9628A"/>
    <w:rsid w:val="00DA1415"/>
    <w:rsid w:val="00DA3A38"/>
    <w:rsid w:val="00DB12DE"/>
    <w:rsid w:val="00DB306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157F3"/>
    <w:rsid w:val="00E21DA8"/>
    <w:rsid w:val="00E30864"/>
    <w:rsid w:val="00E3249E"/>
    <w:rsid w:val="00E328C5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3B1D"/>
    <w:rsid w:val="00EF4183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64858"/>
    <w:rsid w:val="00F650DE"/>
    <w:rsid w:val="00F6692B"/>
    <w:rsid w:val="00F6735A"/>
    <w:rsid w:val="00F927FF"/>
    <w:rsid w:val="00F92D46"/>
    <w:rsid w:val="00F93805"/>
    <w:rsid w:val="00F97463"/>
    <w:rsid w:val="00FA1D61"/>
    <w:rsid w:val="00FA2971"/>
    <w:rsid w:val="00FA3198"/>
    <w:rsid w:val="00FA44E6"/>
    <w:rsid w:val="00FB683D"/>
    <w:rsid w:val="00FC0F1F"/>
    <w:rsid w:val="00FC52DA"/>
    <w:rsid w:val="00FC7F02"/>
    <w:rsid w:val="00FD07B1"/>
    <w:rsid w:val="00FD1D98"/>
    <w:rsid w:val="00FD421B"/>
    <w:rsid w:val="00FD4B55"/>
    <w:rsid w:val="00FD5294"/>
    <w:rsid w:val="00FD651F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pPr>
      <w:jc w:val="both"/>
    </w:pPr>
    <w:rPr>
      <w:sz w:val="24"/>
      <w:szCs w:val="24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0"/>
    <w:next w:val="a0"/>
    <w:link w:val="10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20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0"/>
    <w:next w:val="a0"/>
    <w:link w:val="21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30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0"/>
    <w:next w:val="a0"/>
    <w:link w:val="31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40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0"/>
    <w:next w:val="a0"/>
    <w:link w:val="41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0"/>
    <w:next w:val="a0"/>
    <w:link w:val="50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0"/>
    <w:next w:val="a0"/>
    <w:link w:val="60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0"/>
    <w:next w:val="a0"/>
    <w:link w:val="70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0"/>
    <w:next w:val="a0"/>
    <w:link w:val="80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9">
    <w:name w:val="heading 9"/>
    <w:aliases w:val="Figure Heading,FH,Titre 10,tt,ft,HF,Figures,Alt+9"/>
    <w:basedOn w:val="a0"/>
    <w:next w:val="a0"/>
    <w:link w:val="90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Pr>
      <w:rFonts w:ascii="Tahoma" w:hAnsi="Tahoma" w:cs="Tahoma"/>
      <w:sz w:val="16"/>
      <w:szCs w:val="16"/>
    </w:rPr>
  </w:style>
  <w:style w:type="paragraph" w:styleId="a6">
    <w:name w:val="caption"/>
    <w:basedOn w:val="a0"/>
    <w:next w:val="a0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a7">
    <w:name w:val="footer"/>
    <w:basedOn w:val="a0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0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">
    <w:name w:val="List Continue"/>
    <w:basedOn w:val="a0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2">
    <w:name w:val="List Continue 2"/>
    <w:basedOn w:val="a"/>
    <w:pPr>
      <w:numPr>
        <w:ilvl w:val="1"/>
      </w:numPr>
      <w:tabs>
        <w:tab w:val="clear" w:pos="400"/>
        <w:tab w:val="left" w:pos="800"/>
      </w:tabs>
    </w:pPr>
  </w:style>
  <w:style w:type="paragraph" w:styleId="3">
    <w:name w:val="List Continue 3"/>
    <w:basedOn w:val="a"/>
    <w:pPr>
      <w:numPr>
        <w:ilvl w:val="2"/>
      </w:numPr>
      <w:tabs>
        <w:tab w:val="clear" w:pos="400"/>
        <w:tab w:val="left" w:pos="1200"/>
      </w:tabs>
    </w:pPr>
  </w:style>
  <w:style w:type="paragraph" w:styleId="4">
    <w:name w:val="List Continue 4"/>
    <w:basedOn w:val="a"/>
    <w:pPr>
      <w:numPr>
        <w:ilvl w:val="3"/>
      </w:numPr>
      <w:tabs>
        <w:tab w:val="clear" w:pos="400"/>
        <w:tab w:val="left" w:pos="1600"/>
      </w:tabs>
    </w:pPr>
  </w:style>
  <w:style w:type="paragraph" w:styleId="ab">
    <w:name w:val="Normal (Web)"/>
    <w:basedOn w:val="a0"/>
    <w:uiPriority w:val="99"/>
    <w:unhideWhenUsed/>
  </w:style>
  <w:style w:type="character" w:styleId="ac">
    <w:name w:val="Hyperlink"/>
    <w:basedOn w:val="a1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aliases w:val="h1 字符,Heading U 字符,H1 字符,H11 字符,Œ©o‚µ 1 字符,?co??E 1 字符,뙥 字符,?c 字符,?co?ƒÊ 1 字符,? 字符,Œ 字符,Œ© 字符,Titre Partie 字符,Heading 字符,título 1 字符,DO NOT USE_h1 字符,Œ... 字符,?co?ƒÊ 字符,app heading 1 字符,l1 字符,Huvudrubrik 字符,h11 字符,h12 字符,h13 字符,h14 字符,h15 字符"/>
    <w:link w:val="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21">
    <w:name w:val="标题 2 字符"/>
    <w:aliases w:val="h2 字符,H2 字符,H21 字符,Œ©o‚µ 2 字符,?co??E 2 字符,?2 字符,?c1 字符,?co?ƒÊ 2 字符,Œ1 字符,Œ2 字符,Œ©1 字符,Œ©2 字符,Œ©_o‚µ 2 字符,뙥2 字符,2 字符,Header 2 字符,2nd level 字符,DO NOT USE_h2 字符,título 2 字符,... 字符,Head2A 字符,Break before 字符,UNDERRUBRIK 1-2 字符,level 2 字符,headi 字符"/>
    <w:link w:val="20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31">
    <w:name w:val="标题 3 字符"/>
    <w:aliases w:val="h3 字符,H3 字符,H31 字符,Org Heading 1 字符,Titre 3 字符,Title3 字符,3 字符,GS_3 字符,0H 字符,bullet 字符,b 字符,3 bullet 字符,SECOND 字符,Bullet 字符,Second 字符,l3 字符,kopregel 3 字符,EIVIS Title 3 字符,Titre C 字符,Guide 3 字符,heading 3 字符,Sec II 字符,h31 字符,H32 字符,h32 字符,H33 字符"/>
    <w:link w:val="30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41">
    <w:name w:val="标题 4 字符"/>
    <w:aliases w:val="h4 字符,H4 字符,H41 字符,Org Heading 2 字符,0.1.1.1 Titre 4 + Left:  0&quot; 字符,First line:  0&quot; 字符,0.1.1... 字符,0.1.1.1 Titre 4 字符,Titre 4 字符,Title4 字符,GS_4 字符,ASSET_heading4 字符,EIVIS Title 4 字符,DesignT4 字符,Heading4 字符,h41 字符,h42 字符,H42 字符,h43 字符,H43 字符,d 字符"/>
    <w:link w:val="40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50">
    <w:name w:val="标题 5 字符"/>
    <w:aliases w:val="h5 字符,H5 字符,H51 字符,DO NOT USE_h5 字符,Titre 5 字符,Appendix A to X 字符,Heading 5   Appendix A to X 字符,5 sub-bullet 字符,sb 字符,4 字符,Indent 字符,Heading5 字符,h51 字符,heading 51 字符,Heading51 字符,h52 字符,h53 字符,Alt+5 字符,Alt+51 字符,Alt+52 字符,Alt+53 字符,Alt+511 字符"/>
    <w:link w:val="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60">
    <w:name w:val="标题 6 字符"/>
    <w:aliases w:val="h6 字符,H6 字符,H61 字符,Titre 6 字符,TOC header 字符,Bullet list 字符,sub-dash 字符,sd 字符,5 字符,Appendix 字符,T1 字符,Heading6 字符,h61 字符,h62 字符,Alt+6 字符"/>
    <w:link w:val="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70">
    <w:name w:val="标题 7 字符"/>
    <w:aliases w:val="Bulleted list 字符,L7 字符,st 字符,SDL title 字符,h7 字符,Alt+7 字符,Alt+71 字符,Alt+72 字符,Alt+73 字符,Alt+74 字符,Alt+75 字符,Alt+76 字符,Alt+77 字符,Alt+78 字符,Alt+79 字符,Alt+710 字符,Alt+711 字符,Alt+712 字符,Alt+713 字符"/>
    <w:link w:val="7"/>
    <w:rPr>
      <w:rFonts w:ascii="Cambria" w:eastAsia="Times New Roman" w:hAnsi="Cambria" w:cs="Times New Roman"/>
      <w:sz w:val="24"/>
      <w:szCs w:val="24"/>
    </w:rPr>
  </w:style>
  <w:style w:type="character" w:customStyle="1" w:styleId="80">
    <w:name w:val="标题 8 字符"/>
    <w:aliases w:val="Legal Level 1.1.1. 字符,Center Bold 字符,Tables 字符,Alt+8 字符,Alt+81 字符,Alt+82 字符,Alt+83 字符,Alt+84 字符,Alt+85 字符,Alt+86 字符,Alt+87 字符,Alt+88 字符,Alt+89 字符,Alt+810 字符,Alt+811 字符,Alt+812 字符,Alt+813 字符"/>
    <w:link w:val="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90">
    <w:name w:val="标题 9 字符"/>
    <w:aliases w:val="Figure Heading 字符,FH 字符,Titre 10 字符,tt 字符,ft 字符,HF 字符,Figures 字符,Alt+9 字符"/>
    <w:link w:val="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aa">
    <w:name w:val="页眉 字符"/>
    <w:link w:val="a9"/>
    <w:uiPriority w:val="99"/>
    <w:rPr>
      <w:sz w:val="24"/>
      <w:szCs w:val="24"/>
      <w:lang w:eastAsia="en-US"/>
    </w:rPr>
  </w:style>
  <w:style w:type="character" w:customStyle="1" w:styleId="a8">
    <w:name w:val="页脚 字符"/>
    <w:link w:val="a7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a0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a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a5">
    <w:name w:val="批注框文本 字符"/>
    <w:basedOn w:val="a1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a0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a0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a0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a0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ae">
    <w:name w:val="List Paragraph"/>
    <w:basedOn w:val="a0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af">
    <w:name w:val="annotation reference"/>
    <w:basedOn w:val="a1"/>
    <w:uiPriority w:val="99"/>
    <w:semiHidden/>
    <w:unhideWhenUsed/>
    <w:rsid w:val="00D77135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af1">
    <w:name w:val="批注文字 字符"/>
    <w:basedOn w:val="a1"/>
    <w:link w:val="af0"/>
    <w:uiPriority w:val="99"/>
    <w:semiHidden/>
    <w:rsid w:val="00D77135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7135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D77135"/>
    <w:rPr>
      <w:b/>
      <w:bCs/>
    </w:rPr>
  </w:style>
  <w:style w:type="paragraph" w:styleId="af4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af5">
    <w:name w:val="Body Text"/>
    <w:basedOn w:val="a0"/>
    <w:link w:val="af6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af6">
    <w:name w:val="正文文本 字符"/>
    <w:basedOn w:val="a1"/>
    <w:link w:val="af5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1">
    <w:name w:val="未解決のメンション1"/>
    <w:basedOn w:val="a1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af7">
    <w:name w:val="Unresolved Mention"/>
    <w:basedOn w:val="a1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1569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wengao@tencent.com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engao@tencent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qianheng@sdis.c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99CD02-CA39-4D00-B63D-6A7E4840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1073</Words>
  <Characters>6118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T105724</cp:lastModifiedBy>
  <cp:revision>4</cp:revision>
  <cp:lastPrinted>2016-10-10T12:44:00Z</cp:lastPrinted>
  <dcterms:created xsi:type="dcterms:W3CDTF">2020-01-31T15:27:00Z</dcterms:created>
  <dcterms:modified xsi:type="dcterms:W3CDTF">2020-01-31T15:31:00Z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