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305C07EE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E2002" w:rsidRPr="00A90AB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3D3D84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9096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5E15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305C07EE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E2002" w:rsidRPr="00A90AB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3D3D84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9096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027F4996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7E2002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7E2002">
        <w:rPr>
          <w:rFonts w:eastAsia="Times New Roman"/>
          <w:b/>
          <w:bCs/>
        </w:rPr>
        <w:t>3</w:t>
      </w:r>
      <w:r>
        <w:rPr>
          <w:rFonts w:eastAsia="Times New Roman"/>
          <w:b/>
          <w:bCs/>
        </w:rPr>
        <w:t xml:space="preserve"> for G-PCC on </w:t>
      </w:r>
      <w:r w:rsidR="00E35EFA">
        <w:rPr>
          <w:rFonts w:eastAsia="Times New Roman"/>
          <w:b/>
          <w:bCs/>
        </w:rPr>
        <w:t>SNR-</w:t>
      </w:r>
      <w:r w:rsidR="003D3D84">
        <w:rPr>
          <w:rFonts w:eastAsia="Times New Roman"/>
          <w:b/>
          <w:bCs/>
        </w:rPr>
        <w:t>s</w:t>
      </w:r>
      <w:r w:rsidR="00E35EFA">
        <w:rPr>
          <w:rFonts w:eastAsia="Times New Roman"/>
          <w:b/>
          <w:bCs/>
        </w:rPr>
        <w:t>calab</w:t>
      </w:r>
      <w:r w:rsidR="003D3D84">
        <w:rPr>
          <w:rFonts w:eastAsia="Times New Roman"/>
          <w:b/>
          <w:bCs/>
        </w:rPr>
        <w:t>ility for lifting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22B00D0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3D3D84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3D3D84">
        <w:rPr>
          <w:rFonts w:eastAsia="Times New Roman"/>
          <w:b/>
          <w:bCs/>
          <w:spacing w:val="-3"/>
          <w:w w:val="119"/>
        </w:rPr>
        <w:t>02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3D3D84">
        <w:rPr>
          <w:rFonts w:eastAsia="Times New Roman"/>
          <w:b/>
          <w:bCs/>
          <w:spacing w:val="-3"/>
          <w:w w:val="119"/>
        </w:rPr>
        <w:t>10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44814F11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B1641C">
        <w:rPr>
          <w:rFonts w:eastAsia="SimSun"/>
          <w:b/>
          <w:sz w:val="48"/>
          <w:lang w:val="fr-FR" w:eastAsia="zh-CN"/>
        </w:rPr>
        <w:t>1</w:t>
      </w:r>
      <w:r w:rsidR="003D3D84">
        <w:rPr>
          <w:rFonts w:eastAsia="SimSun"/>
          <w:b/>
          <w:sz w:val="48"/>
          <w:lang w:val="fr-FR" w:eastAsia="zh-CN"/>
        </w:rPr>
        <w:t>9096</w:t>
      </w:r>
    </w:p>
    <w:p w14:paraId="5A449647" w14:textId="3CC5EF23" w:rsidR="0071081E" w:rsidRPr="00CB6FF9" w:rsidRDefault="003D3D84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Brussels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BE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proofErr w:type="spellStart"/>
      <w:r>
        <w:rPr>
          <w:rFonts w:eastAsia="SimSun"/>
          <w:b/>
          <w:sz w:val="28"/>
          <w:lang w:val="fr-FR" w:eastAsia="zh-CN"/>
        </w:rPr>
        <w:t>January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 20</w:t>
      </w:r>
      <w:r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699DBF7E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7E2002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7E2002">
              <w:rPr>
                <w:b/>
                <w:sz w:val="28"/>
                <w:szCs w:val="28"/>
              </w:rPr>
              <w:t>.3</w:t>
            </w:r>
            <w:r w:rsidRPr="009D77D6">
              <w:rPr>
                <w:b/>
                <w:sz w:val="28"/>
                <w:szCs w:val="28"/>
              </w:rPr>
              <w:t xml:space="preserve"> for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E35EFA">
              <w:rPr>
                <w:b/>
                <w:sz w:val="28"/>
                <w:szCs w:val="28"/>
              </w:rPr>
              <w:t>SNR-</w:t>
            </w:r>
            <w:r w:rsidR="003D3D84">
              <w:rPr>
                <w:b/>
                <w:sz w:val="28"/>
                <w:szCs w:val="28"/>
              </w:rPr>
              <w:t>sca</w:t>
            </w:r>
            <w:r w:rsidR="00E35EFA">
              <w:rPr>
                <w:b/>
                <w:sz w:val="28"/>
                <w:szCs w:val="28"/>
              </w:rPr>
              <w:t>lab</w:t>
            </w:r>
            <w:r w:rsidR="003D3D84">
              <w:rPr>
                <w:b/>
                <w:sz w:val="28"/>
                <w:szCs w:val="28"/>
              </w:rPr>
              <w:t>ility</w:t>
            </w:r>
            <w:r w:rsidR="007E2002">
              <w:rPr>
                <w:b/>
                <w:sz w:val="28"/>
                <w:szCs w:val="28"/>
              </w:rPr>
              <w:t xml:space="preserve"> </w:t>
            </w:r>
            <w:r w:rsidR="003D3D84">
              <w:rPr>
                <w:b/>
                <w:sz w:val="28"/>
                <w:szCs w:val="28"/>
              </w:rPr>
              <w:t>for lifting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02E1404D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7E2002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</w:t>
      </w:r>
      <w:r w:rsidR="007E2002">
        <w:rPr>
          <w:rFonts w:eastAsia="SimSun"/>
          <w:b/>
          <w:sz w:val="28"/>
          <w:lang w:eastAsia="zh-CN"/>
        </w:rPr>
        <w:t>3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E35EFA">
        <w:rPr>
          <w:rFonts w:eastAsia="SimSun"/>
          <w:b/>
          <w:sz w:val="28"/>
          <w:lang w:eastAsia="zh-CN"/>
        </w:rPr>
        <w:t>SNR-</w:t>
      </w:r>
      <w:r w:rsidR="003D3D84">
        <w:rPr>
          <w:rFonts w:eastAsia="SimSun"/>
          <w:b/>
          <w:sz w:val="28"/>
          <w:lang w:eastAsia="zh-CN"/>
        </w:rPr>
        <w:t>s</w:t>
      </w:r>
      <w:r w:rsidR="00E35EFA">
        <w:rPr>
          <w:rFonts w:eastAsia="SimSun"/>
          <w:b/>
          <w:sz w:val="28"/>
          <w:lang w:eastAsia="zh-CN"/>
        </w:rPr>
        <w:t>calab</w:t>
      </w:r>
      <w:r w:rsidR="003D3D84">
        <w:rPr>
          <w:rFonts w:eastAsia="SimSun"/>
          <w:b/>
          <w:sz w:val="28"/>
          <w:lang w:eastAsia="zh-CN"/>
        </w:rPr>
        <w:t>ility</w:t>
      </w:r>
      <w:r w:rsidR="007E2002">
        <w:rPr>
          <w:rFonts w:eastAsia="SimSun"/>
          <w:b/>
          <w:sz w:val="28"/>
          <w:lang w:eastAsia="zh-CN"/>
        </w:rPr>
        <w:t xml:space="preserve"> </w:t>
      </w:r>
      <w:r w:rsidR="003D3D84">
        <w:rPr>
          <w:rFonts w:eastAsia="SimSun"/>
          <w:b/>
          <w:sz w:val="28"/>
          <w:lang w:eastAsia="zh-CN"/>
        </w:rPr>
        <w:t>for lifting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0801FF33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7E2002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7E2002" w:rsidRPr="007E2002">
        <w:rPr>
          <w:szCs w:val="22"/>
          <w:lang w:val="en-CA"/>
        </w:rPr>
        <w:t>E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7E2002">
        <w:rPr>
          <w:szCs w:val="22"/>
          <w:lang w:val="en-CA"/>
        </w:rPr>
        <w:t>3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SNR-</w:t>
      </w:r>
      <w:r w:rsidR="003D3D84">
        <w:rPr>
          <w:szCs w:val="22"/>
          <w:lang w:val="en-CA"/>
        </w:rPr>
        <w:t>s</w:t>
      </w:r>
      <w:r w:rsidR="00E35EFA">
        <w:rPr>
          <w:szCs w:val="22"/>
          <w:lang w:val="en-CA"/>
        </w:rPr>
        <w:t>calab</w:t>
      </w:r>
      <w:r w:rsidR="003D3D84">
        <w:rPr>
          <w:szCs w:val="22"/>
          <w:lang w:val="en-CA"/>
        </w:rPr>
        <w:t>ility for lifting</w:t>
      </w:r>
      <w:r>
        <w:rPr>
          <w:szCs w:val="22"/>
          <w:lang w:val="en-CA"/>
        </w:rPr>
        <w:t>.</w:t>
      </w:r>
    </w:p>
    <w:p w14:paraId="4FA80C63" w14:textId="77777777" w:rsidR="00E54D31" w:rsidRDefault="00E54D31" w:rsidP="00771B59">
      <w:pPr>
        <w:rPr>
          <w:szCs w:val="22"/>
          <w:lang w:val="en-CA"/>
        </w:rPr>
      </w:pPr>
      <w:bookmarkStart w:id="0" w:name="_GoBack"/>
      <w:bookmarkEnd w:id="0"/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6A85F736" w14:textId="26B844DD" w:rsidR="00287387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7E2002" w:rsidRPr="007E2002">
        <w:rPr>
          <w:szCs w:val="22"/>
          <w:lang w:val="en-CA"/>
        </w:rPr>
        <w:t>E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7E2002" w:rsidRPr="00A90AB3">
        <w:rPr>
          <w:szCs w:val="22"/>
          <w:lang w:val="en-CA"/>
        </w:rPr>
        <w:t>3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147DF3">
        <w:rPr>
          <w:szCs w:val="22"/>
          <w:lang w:val="en-CA"/>
        </w:rPr>
        <w:t xml:space="preserve">to investigate </w:t>
      </w:r>
      <w:r w:rsidR="00E35EFA">
        <w:rPr>
          <w:szCs w:val="22"/>
          <w:lang w:val="en-CA"/>
        </w:rPr>
        <w:t xml:space="preserve">the </w:t>
      </w:r>
      <w:r w:rsidR="00147DF3">
        <w:rPr>
          <w:szCs w:val="22"/>
          <w:lang w:val="en-CA"/>
        </w:rPr>
        <w:t>coding performance of the</w:t>
      </w:r>
      <w:r w:rsidR="00E35EFA">
        <w:rPr>
          <w:szCs w:val="22"/>
          <w:lang w:val="en-CA"/>
        </w:rPr>
        <w:t xml:space="preserve"> </w:t>
      </w:r>
      <w:r w:rsidR="00E54D31">
        <w:rPr>
          <w:szCs w:val="22"/>
          <w:lang w:val="en-CA"/>
        </w:rPr>
        <w:t xml:space="preserve">CGS </w:t>
      </w:r>
      <w:r w:rsidR="00E35EFA">
        <w:rPr>
          <w:szCs w:val="22"/>
          <w:lang w:val="en-CA"/>
        </w:rPr>
        <w:t>SNR-</w:t>
      </w:r>
      <w:r w:rsidR="00E54D31">
        <w:rPr>
          <w:szCs w:val="22"/>
          <w:lang w:val="en-CA"/>
        </w:rPr>
        <w:t>scalable lifting</w:t>
      </w:r>
      <w:r w:rsidR="00147DF3">
        <w:rPr>
          <w:szCs w:val="22"/>
          <w:lang w:val="en-CA"/>
        </w:rPr>
        <w:t xml:space="preserve"> </w:t>
      </w:r>
      <w:r w:rsidR="006F6CDE">
        <w:rPr>
          <w:szCs w:val="22"/>
          <w:lang w:val="en-CA"/>
        </w:rPr>
        <w:t>as proposed in</w:t>
      </w:r>
      <w:r w:rsidR="00700644">
        <w:rPr>
          <w:szCs w:val="22"/>
          <w:lang w:val="en-CA"/>
        </w:rPr>
        <w:t xml:space="preserve"> m52721 [1] </w:t>
      </w:r>
      <w:r w:rsidR="005E2F57">
        <w:rPr>
          <w:szCs w:val="22"/>
          <w:lang w:val="en-CA"/>
        </w:rPr>
        <w:t xml:space="preserve">and its </w:t>
      </w:r>
      <w:r w:rsidR="00700644">
        <w:rPr>
          <w:szCs w:val="22"/>
          <w:lang w:val="en-CA"/>
        </w:rPr>
        <w:t>alternative</w:t>
      </w:r>
      <w:r w:rsidR="005E2F57">
        <w:rPr>
          <w:szCs w:val="22"/>
          <w:lang w:val="en-CA"/>
        </w:rPr>
        <w:t>.</w:t>
      </w:r>
      <w:r w:rsidR="00E54D31">
        <w:rPr>
          <w:szCs w:val="22"/>
          <w:lang w:val="en-CA"/>
        </w:rPr>
        <w:t xml:space="preserve"> In addition, any updates on improving the FGS SNR-scalable lifting proposed in m51159 [2] will be reported. </w:t>
      </w:r>
    </w:p>
    <w:p w14:paraId="0636A9BB" w14:textId="77777777" w:rsidR="00E54D31" w:rsidRPr="005200D0" w:rsidRDefault="00E54D31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0611CECD" w:rsidR="00771B59" w:rsidRDefault="0071081E" w:rsidP="0071081E">
      <w:pPr>
        <w:pStyle w:val="Heading2"/>
      </w:pPr>
      <w:r w:rsidRPr="0071081E">
        <w:t>m</w:t>
      </w:r>
      <w:r w:rsidR="00E35EFA">
        <w:t>5</w:t>
      </w:r>
      <w:r w:rsidR="00700644">
        <w:t>2721</w:t>
      </w:r>
      <w:r w:rsidRPr="0071081E">
        <w:t>:</w:t>
      </w:r>
      <w:r w:rsidR="007E2002">
        <w:t xml:space="preserve"> </w:t>
      </w:r>
      <w:r w:rsidR="00905C84">
        <w:t xml:space="preserve">Report </w:t>
      </w:r>
      <w:r w:rsidR="00905C84" w:rsidRPr="00905C84">
        <w:t xml:space="preserve">on SNR-Scalable Lifting – Coarse Granular Scalability </w:t>
      </w:r>
      <w:r w:rsidR="007E2002">
        <w:t>[1]</w:t>
      </w:r>
    </w:p>
    <w:p w14:paraId="42A38384" w14:textId="71250CB6" w:rsidR="00127CE6" w:rsidRDefault="00700644" w:rsidP="00E35EFA">
      <w:pPr>
        <w:spacing w:after="200" w:line="276" w:lineRule="auto"/>
        <w:rPr>
          <w:iCs/>
        </w:rPr>
      </w:pPr>
      <w:bookmarkStart w:id="1" w:name="_Hlk519098367"/>
      <w:r w:rsidRPr="003215F2">
        <w:rPr>
          <w:iCs/>
        </w:rPr>
        <w:t>In this</w:t>
      </w:r>
      <w:r>
        <w:rPr>
          <w:iCs/>
        </w:rPr>
        <w:t xml:space="preserve"> </w:t>
      </w:r>
      <w:r w:rsidRPr="003215F2">
        <w:rPr>
          <w:iCs/>
        </w:rPr>
        <w:t xml:space="preserve">contribution, </w:t>
      </w:r>
      <w:bookmarkEnd w:id="1"/>
      <w:r>
        <w:rPr>
          <w:iCs/>
        </w:rPr>
        <w:t>the result of SNR-scalable lifting with coarse</w:t>
      </w:r>
      <w:r>
        <w:rPr>
          <w:iCs/>
        </w:rPr>
        <w:t>-</w:t>
      </w:r>
      <w:r>
        <w:rPr>
          <w:iCs/>
        </w:rPr>
        <w:t>granular</w:t>
      </w:r>
      <w:r>
        <w:rPr>
          <w:iCs/>
        </w:rPr>
        <w:t>-</w:t>
      </w:r>
      <w:r>
        <w:rPr>
          <w:iCs/>
        </w:rPr>
        <w:t>scalability (CGS) is reported. When providing 6 quality-scalable decoding points under C1 coding conditions as per CTC, it roughly halves the total bitrates compared with simulcast while its BD-rate penalty against non-scalable version is around 10%~13%.</w:t>
      </w:r>
    </w:p>
    <w:p w14:paraId="2371ABFC" w14:textId="243A7959" w:rsidR="00700644" w:rsidRDefault="00700644" w:rsidP="00700644">
      <w:pPr>
        <w:pStyle w:val="Heading2"/>
      </w:pPr>
      <w:r>
        <w:t>Alternative method for coarse-granular-scalability (CGS)</w:t>
      </w:r>
    </w:p>
    <w:p w14:paraId="724E22C5" w14:textId="39BA0185" w:rsidR="00700644" w:rsidRDefault="00700644" w:rsidP="00700644">
      <w:r>
        <w:t>It was discussed during the 129</w:t>
      </w:r>
      <w:r w:rsidRPr="00700644">
        <w:rPr>
          <w:vertAlign w:val="superscript"/>
        </w:rPr>
        <w:t>th</w:t>
      </w:r>
      <w:r>
        <w:t xml:space="preserve"> MPEG meeting that a</w:t>
      </w:r>
      <w:r w:rsidR="00905C84">
        <w:t>n alternative</w:t>
      </w:r>
      <w:r>
        <w:t xml:space="preserve"> way of attaining </w:t>
      </w:r>
      <w:r w:rsidR="00905C84">
        <w:t xml:space="preserve">coarse-granular SNR-scalability would be based upon selective-decoding of </w:t>
      </w:r>
      <w:proofErr w:type="spellStart"/>
      <w:r w:rsidR="00905C84">
        <w:t>subband</w:t>
      </w:r>
      <w:proofErr w:type="spellEnd"/>
      <w:r w:rsidR="00905C84">
        <w:t xml:space="preserve"> coefficients depending upon the target QP. </w:t>
      </w:r>
    </w:p>
    <w:p w14:paraId="2FD91D11" w14:textId="6503E012" w:rsidR="00905C84" w:rsidRDefault="00905C84" w:rsidP="00905C84">
      <w:pPr>
        <w:pStyle w:val="Heading2"/>
      </w:pPr>
      <w:r>
        <w:lastRenderedPageBreak/>
        <w:t xml:space="preserve">m51159: </w:t>
      </w:r>
      <w:r w:rsidRPr="00905C84">
        <w:t>[EE13.3] Lossless Lifting Scheme - SNR Scalability</w:t>
      </w:r>
      <w:r w:rsidR="00E54D31">
        <w:t xml:space="preserve"> [2]</w:t>
      </w:r>
    </w:p>
    <w:p w14:paraId="3C5B43C8" w14:textId="60B7EFC0" w:rsidR="00905C84" w:rsidRPr="00700644" w:rsidRDefault="00905C84" w:rsidP="00E54D31">
      <w:pPr>
        <w:spacing w:after="200" w:line="276" w:lineRule="auto"/>
      </w:pPr>
      <w:r w:rsidRPr="003215F2">
        <w:rPr>
          <w:iCs/>
        </w:rPr>
        <w:t xml:space="preserve">In this contribution, </w:t>
      </w:r>
      <w:r>
        <w:rPr>
          <w:iCs/>
        </w:rPr>
        <w:t xml:space="preserve">the result of EE13.3 on lossless lifting for attribute coding is reported. Specifically, the </w:t>
      </w:r>
      <w:proofErr w:type="spellStart"/>
      <w:r>
        <w:rPr>
          <w:iCs/>
        </w:rPr>
        <w:t>bitplane</w:t>
      </w:r>
      <w:proofErr w:type="spellEnd"/>
      <w:r>
        <w:rPr>
          <w:iCs/>
        </w:rPr>
        <w:t xml:space="preserve"> coding of lifting coefficients as proposed in m49603 is reported after migration to TMC13v7. </w:t>
      </w:r>
      <w:r w:rsidRPr="002A7F4B">
        <w:rPr>
          <w:iCs/>
        </w:rPr>
        <w:t xml:space="preserve">It achieves lossless reconstruction at </w:t>
      </w:r>
      <w:r>
        <w:rPr>
          <w:iCs/>
        </w:rPr>
        <w:t>4</w:t>
      </w:r>
      <w:r w:rsidRPr="002A7F4B">
        <w:rPr>
          <w:iCs/>
        </w:rPr>
        <w:t>.</w:t>
      </w:r>
      <w:r>
        <w:rPr>
          <w:iCs/>
        </w:rPr>
        <w:t>7</w:t>
      </w:r>
      <w:r w:rsidRPr="002A7F4B">
        <w:rPr>
          <w:iCs/>
        </w:rPr>
        <w:t>% and 8.1%</w:t>
      </w:r>
      <w:r>
        <w:rPr>
          <w:iCs/>
        </w:rPr>
        <w:t xml:space="preserve"> </w:t>
      </w:r>
      <w:r w:rsidRPr="002A7F4B">
        <w:rPr>
          <w:iCs/>
        </w:rPr>
        <w:t xml:space="preserve">higher </w:t>
      </w:r>
      <w:proofErr w:type="spellStart"/>
      <w:r w:rsidRPr="002A7F4B">
        <w:rPr>
          <w:iCs/>
        </w:rPr>
        <w:t>bpp’s</w:t>
      </w:r>
      <w:proofErr w:type="spellEnd"/>
      <w:r w:rsidRPr="002A7F4B">
        <w:rPr>
          <w:iCs/>
        </w:rPr>
        <w:t xml:space="preserve"> with respect to the Predicting-Transform anchor under the CW test condition for color and reflectance, respectively. Th</w:t>
      </w:r>
      <w:r>
        <w:rPr>
          <w:iCs/>
        </w:rPr>
        <w:t>is</w:t>
      </w:r>
      <w:r w:rsidRPr="002A7F4B">
        <w:rPr>
          <w:iCs/>
        </w:rPr>
        <w:t xml:space="preserve"> result is </w:t>
      </w:r>
      <w:r>
        <w:rPr>
          <w:iCs/>
        </w:rPr>
        <w:t>slightly better than</w:t>
      </w:r>
      <w:r w:rsidRPr="002A7F4B">
        <w:rPr>
          <w:iCs/>
        </w:rPr>
        <w:t xml:space="preserve"> its non-scalable version</w:t>
      </w:r>
      <w:r>
        <w:rPr>
          <w:iCs/>
        </w:rPr>
        <w:t xml:space="preserve"> in m51158 and corresponds to </w:t>
      </w:r>
      <w:r w:rsidRPr="00664EA8">
        <w:rPr>
          <w:iCs/>
        </w:rPr>
        <w:t xml:space="preserve">-1.6% and 0.8% </w:t>
      </w:r>
      <w:proofErr w:type="spellStart"/>
      <w:r w:rsidRPr="00664EA8">
        <w:rPr>
          <w:iCs/>
        </w:rPr>
        <w:t>bpp</w:t>
      </w:r>
      <w:proofErr w:type="spellEnd"/>
      <w:r w:rsidRPr="00664EA8">
        <w:rPr>
          <w:iCs/>
        </w:rPr>
        <w:t xml:space="preserve"> </w:t>
      </w:r>
      <w:r>
        <w:rPr>
          <w:iCs/>
        </w:rPr>
        <w:t xml:space="preserve">differences </w:t>
      </w:r>
      <w:r w:rsidRPr="00664EA8">
        <w:rPr>
          <w:iCs/>
        </w:rPr>
        <w:t xml:space="preserve">for color and reflectance, respectively, </w:t>
      </w:r>
      <w:r>
        <w:rPr>
          <w:iCs/>
        </w:rPr>
        <w:t>relative to</w:t>
      </w:r>
      <w:r w:rsidRPr="00664EA8">
        <w:rPr>
          <w:iCs/>
        </w:rPr>
        <w:t xml:space="preserve"> the lossless RAHT</w:t>
      </w:r>
      <w:r>
        <w:rPr>
          <w:iCs/>
        </w:rPr>
        <w:t xml:space="preserve"> with the added benefit of SNR-s</w:t>
      </w:r>
      <w:r w:rsidRPr="00664EA8">
        <w:rPr>
          <w:iCs/>
        </w:rPr>
        <w:t>calability.</w:t>
      </w:r>
    </w:p>
    <w:p w14:paraId="45CEF8DC" w14:textId="77777777" w:rsidR="0059033B" w:rsidRDefault="0059033B" w:rsidP="0079500F"/>
    <w:p w14:paraId="151014E7" w14:textId="6ACEA353" w:rsidR="00127CE6" w:rsidRPr="00A90AB3" w:rsidRDefault="00127CE6" w:rsidP="008B7DF8">
      <w:pPr>
        <w:pStyle w:val="Heading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7F77521B" w:rsidR="0079500F" w:rsidRPr="00A90AB3" w:rsidRDefault="00FB683D" w:rsidP="0079500F">
      <w:r w:rsidRPr="00A90AB3">
        <w:t xml:space="preserve">In </w:t>
      </w:r>
      <w:r w:rsidR="001A1CFA" w:rsidRPr="00A90AB3">
        <w:t xml:space="preserve">this </w:t>
      </w:r>
      <w:r w:rsidR="007E2002" w:rsidRPr="00A90AB3">
        <w:t>E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E35EFA">
        <w:rPr>
          <w:szCs w:val="22"/>
          <w:lang w:val="en-CA"/>
        </w:rPr>
        <w:t>SNR-scalable</w:t>
      </w:r>
      <w:r w:rsidR="00147DF3" w:rsidRPr="00A90AB3">
        <w:rPr>
          <w:szCs w:val="22"/>
          <w:lang w:val="en-CA"/>
        </w:rPr>
        <w:t xml:space="preserve"> lifting scheme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E35EFA">
        <w:rPr>
          <w:szCs w:val="22"/>
          <w:lang w:val="en-CA"/>
        </w:rPr>
        <w:t>its</w:t>
      </w:r>
      <w:r w:rsidR="003763DE" w:rsidRPr="00A90AB3">
        <w:rPr>
          <w:szCs w:val="22"/>
          <w:lang w:val="en-CA"/>
        </w:rPr>
        <w:t xml:space="preserve"> </w:t>
      </w:r>
      <w:r w:rsidR="00ED540E" w:rsidRPr="00A90AB3">
        <w:rPr>
          <w:szCs w:val="22"/>
          <w:lang w:val="en-CA"/>
        </w:rPr>
        <w:t xml:space="preserve">coding </w:t>
      </w:r>
      <w:r w:rsidR="0084367E">
        <w:rPr>
          <w:szCs w:val="22"/>
          <w:lang w:val="en-CA"/>
        </w:rPr>
        <w:t xml:space="preserve">efficiency </w:t>
      </w:r>
      <w:r w:rsidR="003763DE" w:rsidRPr="00A90AB3">
        <w:rPr>
          <w:szCs w:val="22"/>
          <w:lang w:val="en-CA"/>
        </w:rPr>
        <w:t>and implementation</w:t>
      </w:r>
      <w:r w:rsidR="00147DF3" w:rsidRPr="00A90AB3">
        <w:t xml:space="preserve"> aspects.</w:t>
      </w:r>
    </w:p>
    <w:p w14:paraId="74E35F88" w14:textId="77777777" w:rsidR="00F26F03" w:rsidRPr="00A90AB3" w:rsidRDefault="00F26F03" w:rsidP="008B7DF8">
      <w:pPr>
        <w:pStyle w:val="Heading2"/>
      </w:pPr>
      <w:r w:rsidRPr="00A90AB3">
        <w:t>Mandates</w:t>
      </w:r>
    </w:p>
    <w:p w14:paraId="00A938C6" w14:textId="59B25FBC" w:rsidR="000751DA" w:rsidRDefault="0014213F" w:rsidP="00905C84">
      <w:pPr>
        <w:pStyle w:val="ListParagraph1"/>
        <w:tabs>
          <w:tab w:val="left" w:pos="420"/>
        </w:tabs>
        <w:snapToGrid w:val="0"/>
        <w:spacing w:before="240" w:after="120"/>
        <w:ind w:left="0"/>
        <w:jc w:val="left"/>
        <w:outlineLvl w:val="0"/>
        <w:rPr>
          <w:lang w:eastAsia="ja-JP"/>
        </w:rPr>
      </w:pPr>
      <w:r>
        <w:rPr>
          <w:lang w:eastAsia="ja-JP"/>
        </w:rPr>
        <w:t>1</w:t>
      </w:r>
      <w:r w:rsidR="00905C84">
        <w:rPr>
          <w:lang w:eastAsia="ja-JP"/>
        </w:rPr>
        <w:t xml:space="preserve">. </w:t>
      </w:r>
      <w:r w:rsidR="000D730F">
        <w:rPr>
          <w:lang w:eastAsia="ja-JP"/>
        </w:rPr>
        <w:t xml:space="preserve">Explore </w:t>
      </w:r>
      <w:r w:rsidR="00905C84">
        <w:rPr>
          <w:lang w:eastAsia="ja-JP"/>
        </w:rPr>
        <w:t xml:space="preserve">the ‘alternative method’ </w:t>
      </w:r>
      <w:r w:rsidR="00E54D31">
        <w:rPr>
          <w:lang w:eastAsia="ja-JP"/>
        </w:rPr>
        <w:t xml:space="preserve">of </w:t>
      </w:r>
      <w:r w:rsidR="00905C84">
        <w:rPr>
          <w:lang w:eastAsia="ja-JP"/>
        </w:rPr>
        <w:t xml:space="preserve">Section 2.2 and compare with the method </w:t>
      </w:r>
      <w:r w:rsidR="00E54D31">
        <w:rPr>
          <w:lang w:eastAsia="ja-JP"/>
        </w:rPr>
        <w:t>of</w:t>
      </w:r>
      <w:r w:rsidR="00905C84">
        <w:rPr>
          <w:lang w:eastAsia="ja-JP"/>
        </w:rPr>
        <w:t xml:space="preserve"> </w:t>
      </w:r>
      <w:r w:rsidR="00E54D31">
        <w:rPr>
          <w:lang w:eastAsia="ja-JP"/>
        </w:rPr>
        <w:t xml:space="preserve">Section 2.1 </w:t>
      </w:r>
      <w:r w:rsidR="00905C84">
        <w:rPr>
          <w:lang w:eastAsia="ja-JP"/>
        </w:rPr>
        <w:t xml:space="preserve">[1] to </w:t>
      </w:r>
      <w:r w:rsidR="000D730F">
        <w:rPr>
          <w:lang w:eastAsia="ja-JP"/>
        </w:rPr>
        <w:t xml:space="preserve">enable </w:t>
      </w:r>
      <w:r w:rsidR="00E35EFA">
        <w:rPr>
          <w:lang w:eastAsia="ja-JP"/>
        </w:rPr>
        <w:t>CGS (Coarse Grain Scalability)</w:t>
      </w:r>
      <w:r w:rsidR="000D730F">
        <w:rPr>
          <w:lang w:eastAsia="ja-JP"/>
        </w:rPr>
        <w:t xml:space="preserve"> for the lifting transform. </w:t>
      </w:r>
    </w:p>
    <w:p w14:paraId="5A269414" w14:textId="3CC8C40A" w:rsidR="004E3FDA" w:rsidRPr="00F26F03" w:rsidRDefault="00905C84" w:rsidP="0014213F">
      <w:pPr>
        <w:tabs>
          <w:tab w:val="left" w:pos="420"/>
        </w:tabs>
      </w:pPr>
      <w:r>
        <w:t>2. Explore improvement</w:t>
      </w:r>
      <w:r w:rsidR="00E54D31">
        <w:t>s</w:t>
      </w:r>
      <w:r>
        <w:t xml:space="preserve"> of the FGS (Fine-Granular Scalability)</w:t>
      </w:r>
      <w:r w:rsidR="00E54D31">
        <w:t xml:space="preserve"> method of Section 2.3 [2].</w:t>
      </w: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F208415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3D77E9E1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3C5424D2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03155C17" w:rsidR="00B14BE4" w:rsidRDefault="00B14BE4" w:rsidP="00B14BE4">
            <w:pPr>
              <w:spacing w:after="0"/>
            </w:pPr>
            <w:r w:rsidRPr="00D71326">
              <w:t>Khaled Mammou</w:t>
            </w:r>
          </w:p>
        </w:tc>
        <w:tc>
          <w:tcPr>
            <w:tcW w:w="1889" w:type="dxa"/>
          </w:tcPr>
          <w:p w14:paraId="51A8FC3A" w14:textId="657AA2FD" w:rsidR="00B14BE4" w:rsidRDefault="00B14BE4" w:rsidP="00B14BE4">
            <w:pPr>
              <w:spacing w:after="0"/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1CA31E14" w:rsidR="00B14BE4" w:rsidRPr="004E44FD" w:rsidRDefault="00CA6F81" w:rsidP="00B14BE4">
            <w:pPr>
              <w:spacing w:after="0"/>
              <w:rPr>
                <w:lang w:eastAsia="ja-JP"/>
              </w:rPr>
            </w:pPr>
            <w:hyperlink r:id="rId9" w:history="1">
              <w:r w:rsidR="00B14BE4" w:rsidRPr="001B5163">
                <w:rPr>
                  <w:rStyle w:val="Hyperlink"/>
                  <w:lang w:eastAsia="ja-JP"/>
                </w:rPr>
                <w:t>kmammou@apple.com</w:t>
              </w:r>
            </w:hyperlink>
            <w:r w:rsidR="00B14BE4">
              <w:rPr>
                <w:color w:val="0563C1"/>
                <w:u w:val="single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38C5B37E" w:rsidR="00B14BE4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B14BE4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1907BA3F" w:rsidR="00B14BE4" w:rsidRDefault="00E35EFA" w:rsidP="00B14BE4">
            <w:pPr>
              <w:spacing w:after="0"/>
            </w:pPr>
            <w:proofErr w:type="spellStart"/>
            <w:r>
              <w:t>Toshiyasu</w:t>
            </w:r>
            <w:proofErr w:type="spellEnd"/>
            <w:r>
              <w:t xml:space="preserve"> </w:t>
            </w:r>
            <w:proofErr w:type="spellStart"/>
            <w:r>
              <w:t>Sugio</w:t>
            </w:r>
            <w:proofErr w:type="spellEnd"/>
          </w:p>
        </w:tc>
        <w:tc>
          <w:tcPr>
            <w:tcW w:w="1889" w:type="dxa"/>
          </w:tcPr>
          <w:p w14:paraId="793BA8FF" w14:textId="45FFC2E4" w:rsidR="00B14BE4" w:rsidRDefault="00E35EFA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>Panasonic</w:t>
            </w:r>
          </w:p>
        </w:tc>
        <w:tc>
          <w:tcPr>
            <w:tcW w:w="3525" w:type="dxa"/>
          </w:tcPr>
          <w:p w14:paraId="00CF35B4" w14:textId="7AD77DC9" w:rsidR="00B14BE4" w:rsidRPr="00257B4F" w:rsidRDefault="00E54D31" w:rsidP="00B14BE4">
            <w:pPr>
              <w:spacing w:after="0"/>
              <w:rPr>
                <w:color w:val="0563C1"/>
                <w:u w:val="single"/>
                <w:lang w:eastAsia="ja-JP"/>
              </w:rPr>
            </w:pPr>
            <w:r w:rsidRPr="00E54D31">
              <w:rPr>
                <w:color w:val="0563C1"/>
                <w:u w:val="single"/>
                <w:lang w:eastAsia="ja-JP"/>
              </w:rPr>
              <w:t>sugio.toshiyasu@jp.panasonic.com</w:t>
            </w:r>
          </w:p>
        </w:tc>
        <w:tc>
          <w:tcPr>
            <w:tcW w:w="1259" w:type="dxa"/>
          </w:tcPr>
          <w:p w14:paraId="284BDFA2" w14:textId="3B14D413" w:rsidR="00B14BE4" w:rsidRPr="00D71326" w:rsidRDefault="00177766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Crosscheck</w:t>
            </w:r>
          </w:p>
        </w:tc>
      </w:tr>
      <w:tr w:rsidR="00B14BE4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76275C68" w:rsidR="00B14BE4" w:rsidRPr="00AB3878" w:rsidRDefault="00B14BE4" w:rsidP="00B14BE4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5F1103A1" w:rsidR="00B14BE4" w:rsidRPr="00AB3878" w:rsidRDefault="00B14BE4" w:rsidP="00B14BE4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69BA2132" w:rsidR="00B14BE4" w:rsidRDefault="00B14BE4" w:rsidP="00B14BE4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249873E0" w:rsidR="00B14BE4" w:rsidRPr="00AB3878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</w:tbl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5CD63E14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E54D31">
        <w:t>9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E54D31">
        <w:t>9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1D02551A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E54D31">
        <w:t>9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30D4EB72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147DF3">
        <w:t>3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0D5DE616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1</w:t>
      </w:r>
      <w:r w:rsidR="0035746E">
        <w:t xml:space="preserve">   </w:t>
      </w:r>
      <w:r w:rsidR="001332FA">
        <w:t>Lo</w:t>
      </w:r>
      <w:r>
        <w:t>ssless Geometry – Loss</w:t>
      </w:r>
      <w:r w:rsidR="00E35EFA">
        <w:t xml:space="preserve">y </w:t>
      </w:r>
      <w:r>
        <w:t>Attributes</w:t>
      </w:r>
    </w:p>
    <w:p w14:paraId="708EF3CB" w14:textId="09D6D42D" w:rsidR="00CC4015" w:rsidRDefault="00B424B3" w:rsidP="00214D32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E35EFA">
        <w:t>W</w:t>
      </w:r>
      <w:r>
        <w:t xml:space="preserve"> Lossless Geometry – Los</w:t>
      </w:r>
      <w:r w:rsidR="00E35EFA">
        <w:t>sless</w:t>
      </w:r>
      <w:r>
        <w:t xml:space="preserve"> Attributes</w:t>
      </w:r>
    </w:p>
    <w:p w14:paraId="119688B5" w14:textId="77777777" w:rsidR="00844BD1" w:rsidRDefault="00844BD1" w:rsidP="00844BD1">
      <w:pPr>
        <w:spacing w:before="120" w:after="0" w:line="240" w:lineRule="auto"/>
        <w:ind w:left="720"/>
        <w:contextualSpacing/>
      </w:pPr>
    </w:p>
    <w:p w14:paraId="3FBB5B6E" w14:textId="572E1576" w:rsidR="00CC4015" w:rsidRDefault="00DB27D8" w:rsidP="00F24763">
      <w:pPr>
        <w:tabs>
          <w:tab w:val="left" w:pos="6690"/>
        </w:tabs>
        <w:spacing w:before="120" w:after="0" w:line="240" w:lineRule="auto"/>
        <w:contextualSpacing/>
      </w:pPr>
      <w:r>
        <w:t xml:space="preserve">  </w:t>
      </w:r>
    </w:p>
    <w:p w14:paraId="2629F7B8" w14:textId="6B17C469" w:rsidR="00F24763" w:rsidRDefault="00CC4015" w:rsidP="00F24763">
      <w:pPr>
        <w:tabs>
          <w:tab w:val="left" w:pos="6690"/>
        </w:tabs>
        <w:spacing w:before="120" w:after="0" w:line="240" w:lineRule="auto"/>
        <w:contextualSpacing/>
      </w:pPr>
      <w:r>
        <w:t>T</w:t>
      </w:r>
      <w:r w:rsidR="005E2F57">
        <w:t xml:space="preserve">he </w:t>
      </w:r>
      <w:r w:rsidR="00DB27D8">
        <w:t>performance of</w:t>
      </w:r>
      <w:r w:rsidR="0035746E">
        <w:t xml:space="preserve"> </w:t>
      </w:r>
      <w:r w:rsidR="005E2F57">
        <w:t>SNR-</w:t>
      </w:r>
      <w:r w:rsidR="0014213F">
        <w:t>S</w:t>
      </w:r>
      <w:r w:rsidR="005E2F57">
        <w:t>calab</w:t>
      </w:r>
      <w:r w:rsidR="00DB27D8">
        <w:t xml:space="preserve">le coding (CGS/FGS) </w:t>
      </w:r>
      <w:r w:rsidR="005E2F57">
        <w:t>will be measured as follows:</w:t>
      </w:r>
    </w:p>
    <w:p w14:paraId="0C72EA07" w14:textId="1A96BF7E" w:rsidR="005D0701" w:rsidRDefault="000F2EDC" w:rsidP="005D0701">
      <w:pPr>
        <w:pStyle w:val="ListParagraph"/>
        <w:numPr>
          <w:ilvl w:val="0"/>
          <w:numId w:val="28"/>
        </w:numPr>
        <w:spacing w:before="120"/>
      </w:pPr>
      <w:r>
        <w:lastRenderedPageBreak/>
        <w:t>Given a total of N QP’s including the final target QP</w:t>
      </w:r>
      <w:r w:rsidR="005E2F57">
        <w:t xml:space="preserve"> </w:t>
      </w:r>
      <w:r>
        <w:t xml:space="preserve">(highest quality), compare the size of the embedded bitstream that includes these N quality points </w:t>
      </w:r>
      <w:r w:rsidR="005D0701">
        <w:t>a</w:t>
      </w:r>
      <w:r>
        <w:t>gainst</w:t>
      </w:r>
      <w:r w:rsidR="005D0701">
        <w:t>:</w:t>
      </w:r>
    </w:p>
    <w:p w14:paraId="2D59E20D" w14:textId="2BAA0C1A" w:rsidR="005D0701" w:rsidRDefault="000F2EDC" w:rsidP="007644BB">
      <w:pPr>
        <w:spacing w:before="120" w:after="0" w:line="240" w:lineRule="auto"/>
        <w:ind w:left="360"/>
        <w:contextualSpacing/>
      </w:pPr>
      <w:r>
        <w:t xml:space="preserve"> </w:t>
      </w:r>
      <w:r w:rsidR="005D0701">
        <w:t xml:space="preserve">1) </w:t>
      </w:r>
      <w:r w:rsidR="00DB27D8">
        <w:t>the sum</w:t>
      </w:r>
      <w:r>
        <w:t xml:space="preserve"> of the </w:t>
      </w:r>
      <w:r w:rsidR="00DB27D8">
        <w:t xml:space="preserve">sizes of </w:t>
      </w:r>
      <w:r>
        <w:t>N bitstream</w:t>
      </w:r>
      <w:r w:rsidR="00DB27D8">
        <w:t>s</w:t>
      </w:r>
      <w:r>
        <w:t xml:space="preserve"> </w:t>
      </w:r>
      <w:r w:rsidR="00740A03">
        <w:t>coded at the N</w:t>
      </w:r>
      <w:r>
        <w:t xml:space="preserve"> QP</w:t>
      </w:r>
      <w:r w:rsidR="00740A03">
        <w:t>’s above.</w:t>
      </w:r>
      <w:r w:rsidR="005D0701">
        <w:t xml:space="preserve"> </w:t>
      </w:r>
    </w:p>
    <w:p w14:paraId="54B70B62" w14:textId="5F4ACA44" w:rsidR="005D0701" w:rsidRDefault="005D0701" w:rsidP="00017BED">
      <w:pPr>
        <w:spacing w:before="120" w:after="0" w:line="240" w:lineRule="auto"/>
        <w:ind w:left="360"/>
        <w:contextualSpacing/>
      </w:pPr>
      <w:r>
        <w:t xml:space="preserve"> 2) the size of the bitstream coded at the final target QP</w:t>
      </w:r>
      <w:r w:rsidR="000F2EDC">
        <w:t>.</w:t>
      </w:r>
    </w:p>
    <w:p w14:paraId="2B746E9A" w14:textId="211AAB6A" w:rsidR="005E2F57" w:rsidRDefault="000F2EDC" w:rsidP="005D0701">
      <w:pPr>
        <w:pStyle w:val="ListParagraph"/>
        <w:numPr>
          <w:ilvl w:val="0"/>
          <w:numId w:val="28"/>
        </w:numPr>
        <w:spacing w:before="120"/>
      </w:pPr>
      <w:r>
        <w:t xml:space="preserve">Change N from 1 (non-scalable) to </w:t>
      </w:r>
      <w:r w:rsidR="003B36A0">
        <w:t>6 (scalable, supporting 6 QP points under the C1 test)</w:t>
      </w:r>
      <w:r>
        <w:t xml:space="preserve"> </w:t>
      </w:r>
    </w:p>
    <w:p w14:paraId="6416B525" w14:textId="15AE6AFB" w:rsidR="00017BED" w:rsidRDefault="00017BED" w:rsidP="00017BED">
      <w:pPr>
        <w:pStyle w:val="ListParagraph"/>
        <w:spacing w:before="120"/>
        <w:ind w:left="360"/>
      </w:pPr>
    </w:p>
    <w:p w14:paraId="6FBE2AE1" w14:textId="59D7F7D1" w:rsidR="004E3FDA" w:rsidRDefault="00DB27D8" w:rsidP="008D721E">
      <w:pPr>
        <w:pStyle w:val="ListParagraph"/>
        <w:numPr>
          <w:ilvl w:val="0"/>
          <w:numId w:val="28"/>
        </w:numPr>
        <w:spacing w:before="120"/>
      </w:pPr>
      <w:r>
        <w:t xml:space="preserve">If the highest quality is set to be lossless, the bitstream size will be compared with that of the CW anchor (i.e., Predicting Transform). </w:t>
      </w:r>
    </w:p>
    <w:p w14:paraId="4EB112FD" w14:textId="77777777" w:rsidR="00844BD1" w:rsidRDefault="00844BD1" w:rsidP="00844BD1">
      <w:pPr>
        <w:pStyle w:val="ListParagraph"/>
        <w:spacing w:before="120"/>
        <w:ind w:left="360"/>
      </w:pPr>
    </w:p>
    <w:p w14:paraId="7B4FB674" w14:textId="2146B8BD" w:rsidR="00515C3F" w:rsidRDefault="007E2002" w:rsidP="008B7DF8">
      <w:pPr>
        <w:pStyle w:val="Heading2"/>
        <w:rPr>
          <w:lang w:val="de-AT"/>
        </w:rPr>
      </w:pPr>
      <w:r w:rsidRPr="00A90AB3">
        <w:rPr>
          <w:lang w:val="de-AT"/>
        </w:rPr>
        <w:t>E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 w:rsidRPr="00A90AB3">
        <w:rPr>
          <w:lang w:val="de-AT"/>
        </w:rPr>
        <w:t>3</w:t>
      </w:r>
      <w:r w:rsidR="00515C3F">
        <w:rPr>
          <w:lang w:val="de-AT"/>
        </w:rPr>
        <w:t xml:space="preserve"> Coordinators</w:t>
      </w:r>
    </w:p>
    <w:p w14:paraId="604EB94C" w14:textId="31E67DF6" w:rsidR="000000FD" w:rsidRDefault="00B424B3" w:rsidP="000000FD">
      <w:proofErr w:type="spellStart"/>
      <w:r>
        <w:t>Sehoon</w:t>
      </w:r>
      <w:proofErr w:type="spellEnd"/>
      <w:r>
        <w:t xml:space="preserve"> Yea</w:t>
      </w:r>
      <w:r w:rsidR="000000FD">
        <w:t xml:space="preserve"> (</w:t>
      </w:r>
      <w:hyperlink r:id="rId10" w:history="1"/>
      <w:hyperlink r:id="rId11" w:history="1">
        <w:r w:rsidR="00E54D31" w:rsidRPr="00E851BE">
          <w:rPr>
            <w:rStyle w:val="Hyperlink"/>
          </w:rPr>
          <w:t>sehoonyea@tencent.com</w:t>
        </w:r>
      </w:hyperlink>
      <w:r w:rsidR="000000FD">
        <w:t>)</w:t>
      </w:r>
    </w:p>
    <w:p w14:paraId="4CB7A80F" w14:textId="77777777" w:rsidR="00E54D31" w:rsidRPr="000000FD" w:rsidRDefault="00E54D31" w:rsidP="000000FD">
      <w:pPr>
        <w:rPr>
          <w:lang w:val="de-AT"/>
        </w:rPr>
      </w:pP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3FDBC8F7" w14:textId="66214721" w:rsidR="007E2002" w:rsidRPr="00D154F7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2" w:name="_Hlk527015368"/>
      <w:r w:rsidRPr="00D154F7">
        <w:rPr>
          <w:b/>
          <w:lang w:val="en-GB"/>
        </w:rPr>
        <w:t>20</w:t>
      </w:r>
      <w:r w:rsidR="00E54D31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E54D31">
        <w:rPr>
          <w:b/>
          <w:lang w:val="en-GB"/>
        </w:rPr>
        <w:t>03</w:t>
      </w:r>
      <w:r w:rsidRPr="00D154F7">
        <w:rPr>
          <w:b/>
          <w:lang w:val="en-GB"/>
        </w:rPr>
        <w:t>-</w:t>
      </w:r>
      <w:r w:rsidR="00E54D31">
        <w:rPr>
          <w:b/>
          <w:lang w:val="en-GB"/>
        </w:rPr>
        <w:t>20</w:t>
      </w:r>
      <w:r w:rsidRPr="00D154F7">
        <w:rPr>
          <w:lang w:val="en-GB"/>
        </w:rPr>
        <w:t>: Deliver source code and results for cross check;</w:t>
      </w:r>
    </w:p>
    <w:p w14:paraId="6DB9839E" w14:textId="5D326D26" w:rsidR="007E2002" w:rsidRPr="00C355B9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 w:rsidR="00E54D31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E54D31">
        <w:rPr>
          <w:b/>
          <w:lang w:val="en-GB"/>
        </w:rPr>
        <w:t>04</w:t>
      </w:r>
      <w:r w:rsidRPr="00D154F7">
        <w:rPr>
          <w:b/>
          <w:lang w:val="en-GB"/>
        </w:rPr>
        <w:t>-</w:t>
      </w:r>
      <w:r w:rsidR="00E54D31">
        <w:rPr>
          <w:b/>
          <w:lang w:val="en-GB"/>
        </w:rPr>
        <w:t>03</w:t>
      </w:r>
      <w:r w:rsidRPr="00D154F7">
        <w:rPr>
          <w:lang w:val="en-GB"/>
        </w:rPr>
        <w:t xml:space="preserve">: </w:t>
      </w:r>
      <w:r w:rsidRPr="00C355B9">
        <w:rPr>
          <w:lang w:val="en-GB"/>
        </w:rPr>
        <w:t>Report of preliminary cross check results;</w:t>
      </w:r>
    </w:p>
    <w:p w14:paraId="00FB4714" w14:textId="727B0288" w:rsidR="007E2002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 w:rsidR="00E35EFA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E35EFA">
        <w:rPr>
          <w:b/>
          <w:lang w:val="en-GB"/>
        </w:rPr>
        <w:t>0</w:t>
      </w:r>
      <w:r w:rsidR="00E54D31">
        <w:rPr>
          <w:b/>
          <w:lang w:val="en-GB"/>
        </w:rPr>
        <w:t>4</w:t>
      </w:r>
      <w:r w:rsidRPr="00D154F7">
        <w:rPr>
          <w:b/>
          <w:lang w:val="en-GB"/>
        </w:rPr>
        <w:t>-</w:t>
      </w:r>
      <w:r w:rsidR="00E54D31">
        <w:rPr>
          <w:b/>
          <w:lang w:val="en-GB"/>
        </w:rPr>
        <w:t>15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p w14:paraId="741D1623" w14:textId="77777777" w:rsidR="00E54D31" w:rsidRPr="00C355B9" w:rsidRDefault="00E54D31" w:rsidP="00E54D31">
      <w:pPr>
        <w:pStyle w:val="ListParagraph1"/>
        <w:snapToGrid w:val="0"/>
        <w:spacing w:before="240" w:after="120" w:line="256" w:lineRule="auto"/>
        <w:outlineLvl w:val="0"/>
        <w:rPr>
          <w:lang w:val="en-GB"/>
        </w:rPr>
      </w:pPr>
    </w:p>
    <w:bookmarkEnd w:id="2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29FE283C" w14:textId="41775E69" w:rsidR="00BE6CCA" w:rsidRPr="00A90AB3" w:rsidRDefault="00700644" w:rsidP="00A90AB3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3" w:name="_Ref9864475"/>
      <w:bookmarkStart w:id="4" w:name="_Ref511838956"/>
      <w:bookmarkStart w:id="5" w:name="_Ref511839159"/>
      <w:r>
        <w:rPr>
          <w:rFonts w:eastAsia="Gulim"/>
          <w:lang w:val="en-CA" w:eastAsia="ko-KR"/>
        </w:rPr>
        <w:t xml:space="preserve">Report </w:t>
      </w:r>
      <w:r w:rsidRPr="00700644">
        <w:rPr>
          <w:rFonts w:eastAsia="Gulim"/>
          <w:lang w:val="en-CA" w:eastAsia="ko-KR"/>
        </w:rPr>
        <w:t>on SNR-Scalable Lifting – Coarse Granular Scalabilit</w:t>
      </w:r>
      <w:r>
        <w:rPr>
          <w:rFonts w:eastAsia="Gulim"/>
          <w:lang w:val="en-CA" w:eastAsia="ko-KR"/>
        </w:rPr>
        <w:t>y</w:t>
      </w:r>
      <w:r w:rsidR="007E2002" w:rsidRPr="00B424B3">
        <w:rPr>
          <w:rFonts w:eastAsia="Gulim"/>
          <w:lang w:val="en-CA" w:eastAsia="ko-KR"/>
        </w:rPr>
        <w:t>, ISO/IEC JTC1/SC29 WG11 m</w:t>
      </w:r>
      <w:r w:rsidR="00E35EFA">
        <w:rPr>
          <w:rFonts w:eastAsia="Gulim"/>
          <w:lang w:val="en-CA" w:eastAsia="ko-KR"/>
        </w:rPr>
        <w:t>5</w:t>
      </w:r>
      <w:r>
        <w:rPr>
          <w:rFonts w:eastAsia="Gulim"/>
          <w:lang w:val="en-CA" w:eastAsia="ko-KR"/>
        </w:rPr>
        <w:t>2721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Brussels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BE</w:t>
      </w:r>
      <w:r w:rsidR="007E2002"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January</w:t>
      </w:r>
      <w:r w:rsidR="007E2002" w:rsidRPr="00B424B3">
        <w:rPr>
          <w:rFonts w:eastAsia="Gulim"/>
          <w:lang w:val="en-CA" w:eastAsia="ko-KR"/>
        </w:rPr>
        <w:t xml:space="preserve"> 20</w:t>
      </w:r>
      <w:r>
        <w:rPr>
          <w:rFonts w:eastAsia="Gulim"/>
          <w:lang w:val="en-CA" w:eastAsia="ko-KR"/>
        </w:rPr>
        <w:t>20</w:t>
      </w:r>
    </w:p>
    <w:p w14:paraId="3DC277C5" w14:textId="3C69BF2E" w:rsidR="00905C84" w:rsidRDefault="00BE6CCA" w:rsidP="007E2002">
      <w:pPr>
        <w:spacing w:after="0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[</w:t>
      </w:r>
      <w:r w:rsidR="00147DF3">
        <w:rPr>
          <w:rFonts w:eastAsia="Malgun Gothic"/>
          <w:lang w:eastAsia="ko-KR"/>
        </w:rPr>
        <w:t>2</w:t>
      </w:r>
      <w:r>
        <w:rPr>
          <w:rFonts w:eastAsia="Malgun Gothic"/>
          <w:lang w:eastAsia="ko-KR"/>
        </w:rPr>
        <w:t xml:space="preserve">] </w:t>
      </w:r>
      <w:r w:rsidR="00905C84" w:rsidRPr="00905C84">
        <w:rPr>
          <w:rFonts w:eastAsia="Malgun Gothic"/>
          <w:lang w:eastAsia="ko-KR"/>
        </w:rPr>
        <w:t>[EE13.3] Lossless Lifting Scheme - SNR Scalability, ISO/IEC JTC1/SC29/WG11 m51159, Geneva, CH, October 2019</w:t>
      </w:r>
    </w:p>
    <w:p w14:paraId="4AD299EF" w14:textId="4F0C453C" w:rsidR="007E2002" w:rsidRPr="00A53519" w:rsidRDefault="00905C84" w:rsidP="007E2002">
      <w:pPr>
        <w:spacing w:after="0"/>
      </w:pPr>
      <w:r>
        <w:rPr>
          <w:rFonts w:eastAsia="Malgun Gothic"/>
          <w:lang w:eastAsia="ko-KR"/>
        </w:rPr>
        <w:t xml:space="preserve">[3] </w:t>
      </w:r>
      <w:r w:rsidR="007E2002" w:rsidRPr="008B7DF8">
        <w:rPr>
          <w:rFonts w:eastAsia="Malgun Gothic"/>
          <w:lang w:eastAsia="ko-KR"/>
        </w:rPr>
        <w:t>PCC Test Model Category 13 v</w:t>
      </w:r>
      <w:r w:rsidR="007E2002">
        <w:rPr>
          <w:rFonts w:eastAsia="Malgun Gothic"/>
          <w:lang w:eastAsia="ko-KR"/>
        </w:rPr>
        <w:t>7</w:t>
      </w:r>
      <w:r w:rsidR="007E2002" w:rsidRPr="008B7DF8">
        <w:rPr>
          <w:rFonts w:eastAsia="Malgun Gothic"/>
          <w:lang w:eastAsia="ko-KR"/>
        </w:rPr>
        <w:t>,</w:t>
      </w:r>
      <w:r w:rsidR="007E2002" w:rsidRPr="00C539B1">
        <w:rPr>
          <w:rFonts w:eastAsia="Malgun Gothic"/>
          <w:lang w:eastAsia="ko-KR"/>
        </w:rPr>
        <w:t xml:space="preserve"> </w:t>
      </w:r>
      <w:r w:rsidR="007E2002" w:rsidRPr="00A53519">
        <w:rPr>
          <w:szCs w:val="28"/>
          <w:lang w:eastAsia="ko-KR"/>
        </w:rPr>
        <w:t xml:space="preserve">ISO/IEC JTC1/SC29/WG11 </w:t>
      </w:r>
      <w:r w:rsidR="007E2002">
        <w:rPr>
          <w:rFonts w:eastAsia="Malgun Gothic"/>
          <w:lang w:eastAsia="ko-KR"/>
        </w:rPr>
        <w:t>w18664</w:t>
      </w:r>
      <w:r w:rsidR="007E2002" w:rsidRPr="002F6770">
        <w:rPr>
          <w:rFonts w:eastAsia="Malgun Gothic"/>
          <w:lang w:eastAsia="ko-KR"/>
        </w:rPr>
        <w:t>,</w:t>
      </w:r>
      <w:r w:rsidR="007E2002" w:rsidRPr="00A53519">
        <w:rPr>
          <w:rFonts w:eastAsia="Malgun Gothic"/>
          <w:lang w:eastAsia="ko-KR"/>
        </w:rPr>
        <w:t xml:space="preserve"> </w:t>
      </w:r>
      <w:r w:rsidR="007E2002">
        <w:rPr>
          <w:lang w:eastAsia="ko-KR"/>
        </w:rPr>
        <w:t>Gothenburg</w:t>
      </w:r>
      <w:r w:rsidR="007E2002" w:rsidRPr="00A53519">
        <w:rPr>
          <w:lang w:eastAsia="ko-KR"/>
        </w:rPr>
        <w:t xml:space="preserve">, </w:t>
      </w:r>
      <w:r w:rsidR="007E2002">
        <w:rPr>
          <w:lang w:eastAsia="ko-KR"/>
        </w:rPr>
        <w:t>SE, July 2019.</w:t>
      </w:r>
    </w:p>
    <w:p w14:paraId="0C683627" w14:textId="4AF9023B" w:rsidR="007E2002" w:rsidRPr="001B65DF" w:rsidRDefault="007E2002" w:rsidP="007E2002">
      <w:pPr>
        <w:rPr>
          <w:lang w:eastAsia="ko-KR"/>
        </w:rPr>
      </w:pPr>
      <w:r>
        <w:rPr>
          <w:lang w:eastAsia="ko-KR"/>
        </w:rPr>
        <w:t>[</w:t>
      </w:r>
      <w:r w:rsidR="00905C84">
        <w:rPr>
          <w:lang w:eastAsia="ko-KR"/>
        </w:rPr>
        <w:t>4</w:t>
      </w:r>
      <w:r>
        <w:rPr>
          <w:lang w:eastAsia="ko-KR"/>
        </w:rPr>
        <w:t xml:space="preserve">] </w:t>
      </w:r>
      <w:r w:rsidRPr="00A53519">
        <w:rPr>
          <w:lang w:eastAsia="ko-KR"/>
        </w:rPr>
        <w:t>Common Test Conditions for PCC</w:t>
      </w:r>
      <w:r>
        <w:rPr>
          <w:lang w:eastAsia="ko-KR"/>
        </w:rPr>
        <w:t xml:space="preserve">, </w:t>
      </w:r>
      <w:r w:rsidRPr="003E1C4E">
        <w:rPr>
          <w:lang w:eastAsia="ko-KR"/>
        </w:rPr>
        <w:t xml:space="preserve">ISO/IEC JTC1/SC29 WG11 </w:t>
      </w:r>
      <w:r>
        <w:rPr>
          <w:lang w:eastAsia="ko-KR"/>
        </w:rPr>
        <w:t>w18665</w:t>
      </w:r>
      <w:r w:rsidRPr="003E1C4E">
        <w:rPr>
          <w:lang w:eastAsia="ko-KR"/>
        </w:rPr>
        <w:t xml:space="preserve">, </w:t>
      </w:r>
      <w:r>
        <w:rPr>
          <w:lang w:eastAsia="ko-KR"/>
        </w:rPr>
        <w:t>Gothenburg</w:t>
      </w:r>
      <w:r w:rsidRPr="00A53519">
        <w:rPr>
          <w:lang w:eastAsia="ko-KR"/>
        </w:rPr>
        <w:t xml:space="preserve">, </w:t>
      </w:r>
      <w:r>
        <w:rPr>
          <w:lang w:eastAsia="ko-KR"/>
        </w:rPr>
        <w:t>SE, July 2019.</w:t>
      </w:r>
    </w:p>
    <w:bookmarkEnd w:id="3"/>
    <w:bookmarkEnd w:id="4"/>
    <w:bookmarkEnd w:id="5"/>
    <w:p w14:paraId="0D7A6E68" w14:textId="48090AB4" w:rsidR="00AB3878" w:rsidRPr="001B65DF" w:rsidRDefault="00AB3878" w:rsidP="00A90AB3">
      <w:pPr>
        <w:rPr>
          <w:lang w:eastAsia="ko-KR"/>
        </w:rPr>
      </w:pPr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5"/>
  </w:num>
  <w:num w:numId="3">
    <w:abstractNumId w:val="11"/>
  </w:num>
  <w:num w:numId="4">
    <w:abstractNumId w:val="12"/>
  </w:num>
  <w:num w:numId="5">
    <w:abstractNumId w:val="13"/>
  </w:num>
  <w:num w:numId="6">
    <w:abstractNumId w:val="22"/>
  </w:num>
  <w:num w:numId="7">
    <w:abstractNumId w:val="7"/>
  </w:num>
  <w:num w:numId="8">
    <w:abstractNumId w:val="18"/>
  </w:num>
  <w:num w:numId="9">
    <w:abstractNumId w:val="4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730F"/>
    <w:rsid w:val="000E1BA5"/>
    <w:rsid w:val="000E4156"/>
    <w:rsid w:val="000F2EDC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7DF3"/>
    <w:rsid w:val="00154F8D"/>
    <w:rsid w:val="00156DFB"/>
    <w:rsid w:val="00157832"/>
    <w:rsid w:val="00166AB5"/>
    <w:rsid w:val="001670D0"/>
    <w:rsid w:val="0017776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1B2F"/>
    <w:rsid w:val="00393B1F"/>
    <w:rsid w:val="0039562D"/>
    <w:rsid w:val="003A0364"/>
    <w:rsid w:val="003A2023"/>
    <w:rsid w:val="003A66EB"/>
    <w:rsid w:val="003B36A0"/>
    <w:rsid w:val="003B6A84"/>
    <w:rsid w:val="003B72F0"/>
    <w:rsid w:val="003C08E1"/>
    <w:rsid w:val="003C282E"/>
    <w:rsid w:val="003C4A4F"/>
    <w:rsid w:val="003D27AE"/>
    <w:rsid w:val="003D3D84"/>
    <w:rsid w:val="003E116F"/>
    <w:rsid w:val="003E1DC8"/>
    <w:rsid w:val="003E681C"/>
    <w:rsid w:val="003F1634"/>
    <w:rsid w:val="003F482F"/>
    <w:rsid w:val="004148A5"/>
    <w:rsid w:val="00417900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0644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4BB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1F7B"/>
    <w:rsid w:val="007D476D"/>
    <w:rsid w:val="007E042E"/>
    <w:rsid w:val="007E2002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01399"/>
    <w:rsid w:val="00905C84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0AB3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92880"/>
    <w:rsid w:val="00C95CEF"/>
    <w:rsid w:val="00C95F33"/>
    <w:rsid w:val="00CA32F5"/>
    <w:rsid w:val="00CA6F81"/>
    <w:rsid w:val="00CB6513"/>
    <w:rsid w:val="00CC0BAA"/>
    <w:rsid w:val="00CC173A"/>
    <w:rsid w:val="00CC25F0"/>
    <w:rsid w:val="00CC2C51"/>
    <w:rsid w:val="00CC4015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4D31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hoonyea@tencent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kmammou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545C1D-19DD-4EA8-ADA6-4086D73F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Sehon Yea</cp:lastModifiedBy>
  <cp:revision>24</cp:revision>
  <cp:lastPrinted>2016-10-10T12:44:00Z</cp:lastPrinted>
  <dcterms:created xsi:type="dcterms:W3CDTF">2019-10-11T09:04:00Z</dcterms:created>
  <dcterms:modified xsi:type="dcterms:W3CDTF">2020-02-10T23:57:00Z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