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Pr="00EB4AFE" w:rsidRDefault="00CB6FF9" w:rsidP="00717E1B">
      <w:pPr>
        <w:spacing w:after="0" w:line="200" w:lineRule="exact"/>
        <w:rPr>
          <w:sz w:val="20"/>
          <w:szCs w:val="20"/>
        </w:rPr>
      </w:pPr>
      <w:r w:rsidRPr="00EB4AFE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6E2" w:rsidRPr="00CB6FF9" w:rsidRDefault="00CF06E2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F06E2" w:rsidRPr="00CB6FF9" w:rsidRDefault="00CF06E2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F06E2" w:rsidRPr="00CB6FF9" w:rsidRDefault="00CF06E2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F06E2" w:rsidRPr="00CB6FF9" w:rsidRDefault="00CF06E2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F06E2" w:rsidRPr="00CB6FF9" w:rsidRDefault="00CF06E2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F06E2" w:rsidRPr="00CB6FF9" w:rsidRDefault="00CF06E2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EB4AFE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6E2" w:rsidRDefault="00CF06E2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Pr="00E6407A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18895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CF06E2" w:rsidRDefault="00CF06E2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Pr="00E6407A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18895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EB4AF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EB4AFE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53A03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Pr="00EB4AFE" w:rsidRDefault="009D0066" w:rsidP="007F2E7F"/>
    <w:p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51EDE" w:rsidRPr="00451EDE">
        <w:rPr>
          <w:rFonts w:ascii="Times New Roman" w:eastAsia="Times New Roman" w:hAnsi="Times New Roman"/>
          <w:b/>
          <w:bCs/>
          <w:sz w:val="24"/>
          <w:szCs w:val="24"/>
        </w:rPr>
        <w:t xml:space="preserve">Draft </w:t>
      </w:r>
      <w:proofErr w:type="spellStart"/>
      <w:r w:rsidR="00451EDE" w:rsidRPr="00451EDE">
        <w:rPr>
          <w:rFonts w:ascii="Times New Roman" w:eastAsia="Times New Roman" w:hAnsi="Times New Roman"/>
          <w:b/>
          <w:bCs/>
          <w:sz w:val="24"/>
          <w:szCs w:val="24"/>
        </w:rPr>
        <w:t>DoC</w:t>
      </w:r>
      <w:proofErr w:type="spellEnd"/>
      <w:r w:rsidR="00451EDE" w:rsidRPr="00451EDE">
        <w:rPr>
          <w:rFonts w:ascii="Times New Roman" w:eastAsia="Times New Roman" w:hAnsi="Times New Roman"/>
          <w:b/>
          <w:bCs/>
          <w:sz w:val="24"/>
          <w:szCs w:val="24"/>
        </w:rPr>
        <w:t xml:space="preserve"> for ISO/IEC CD 23090-9 Geometry-based Point Cloud Compression  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  <w:t>Approved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EB4AFE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 w:rsidRPr="00EB4AFE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451EDE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10</w:t>
      </w:r>
      <w:r w:rsidR="00494821" w:rsidRPr="00EB4AFE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451EDE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31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51EDE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 w:rsidRPr="00EB4AFE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EB4AFE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35B75"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="00E10CC8">
        <w:rPr>
          <w:rFonts w:ascii="Times New Roman" w:eastAsia="Times New Roman" w:hAnsi="Times New Roman"/>
          <w:b/>
          <w:bCs/>
          <w:sz w:val="24"/>
          <w:szCs w:val="24"/>
        </w:rPr>
        <w:t>2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EB4AFE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EB4AFE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 w:rsidRPr="00EB4AFE"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 w:rsidRPr="00EB4AFE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Pr="00EB4AFE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Pr="00EB4AFE" w:rsidRDefault="00CB6FF9" w:rsidP="00CB6FF9"/>
    <w:p w:rsidR="00CB6FF9" w:rsidRPr="00EB4AFE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EB4AFE">
        <w:rPr>
          <w:rFonts w:ascii="Times New Roman" w:eastAsia="SimSun" w:hAnsi="Times New Roman"/>
          <w:b/>
          <w:sz w:val="48"/>
          <w:szCs w:val="24"/>
          <w:lang w:val="fr-FR" w:eastAsia="zh-CN"/>
        </w:rPr>
        <w:t>N</w:t>
      </w:r>
      <w:r w:rsidR="00E6407A" w:rsidRPr="00E6407A">
        <w:rPr>
          <w:rFonts w:ascii="Times New Roman" w:eastAsia="SimSun" w:hAnsi="Times New Roman"/>
          <w:b/>
          <w:sz w:val="48"/>
          <w:szCs w:val="24"/>
          <w:lang w:val="fr-FR" w:eastAsia="zh-CN"/>
        </w:rPr>
        <w:t>18895</w:t>
      </w:r>
    </w:p>
    <w:p w:rsidR="00CB6FF9" w:rsidRPr="00EB4AFE" w:rsidRDefault="00D6323E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Geneva</w:t>
      </w:r>
      <w:r w:rsidR="00CB6FF9"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, C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H</w:t>
      </w:r>
      <w:r w:rsidR="00CB6FF9"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proofErr w:type="spellStart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October</w:t>
      </w:r>
      <w:proofErr w:type="spellEnd"/>
      <w:r w:rsidR="00CB6FF9"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2019</w:t>
      </w:r>
    </w:p>
    <w:p w:rsidR="00CB6FF9" w:rsidRPr="00EB4AF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CB6FF9" w:rsidRPr="00EB4AFE" w:rsidTr="006547F0">
        <w:tc>
          <w:tcPr>
            <w:tcW w:w="0" w:type="auto"/>
            <w:shd w:val="clear" w:color="auto" w:fill="auto"/>
          </w:tcPr>
          <w:p w:rsidR="00CB6FF9" w:rsidRPr="00EB4AFE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gramStart"/>
            <w:r w:rsidRPr="00EB4AF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B6FF9" w:rsidRPr="00451EDE" w:rsidRDefault="00451EDE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>
              <w:rPr>
                <w:rFonts w:ascii="Times New Roman" w:eastAsiaTheme="minorEastAsia" w:hAnsi="Times New Roman" w:hint="eastAsia"/>
                <w:b/>
                <w:sz w:val="28"/>
                <w:szCs w:val="24"/>
                <w:lang w:val="fr-FR" w:eastAsia="ja-JP"/>
              </w:rPr>
              <w:t>3</w:t>
            </w: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DG</w:t>
            </w:r>
          </w:p>
        </w:tc>
      </w:tr>
      <w:tr w:rsidR="00CB6FF9" w:rsidRPr="00EB4AFE" w:rsidTr="006547F0">
        <w:tc>
          <w:tcPr>
            <w:tcW w:w="0" w:type="auto"/>
            <w:shd w:val="clear" w:color="auto" w:fill="auto"/>
          </w:tcPr>
          <w:p w:rsidR="00CB6FF9" w:rsidRPr="00EB4AFE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spellStart"/>
            <w:proofErr w:type="gramStart"/>
            <w:r w:rsidRPr="00EB4AF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</w:t>
            </w:r>
            <w:proofErr w:type="spellEnd"/>
            <w:r w:rsidRPr="00EB4AF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B6FF9" w:rsidRPr="00D6323E" w:rsidRDefault="00451EDE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val="fr-FR" w:eastAsia="zh-CN"/>
              </w:rPr>
            </w:pPr>
            <w:r w:rsidRPr="00D6323E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 xml:space="preserve">Draft </w:t>
            </w:r>
            <w:proofErr w:type="spellStart"/>
            <w:r w:rsidRPr="00D6323E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DoC</w:t>
            </w:r>
            <w:proofErr w:type="spellEnd"/>
            <w:r w:rsidRPr="00D6323E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 xml:space="preserve"> for ISO/IEC CD 23090-9 Geometry-based Point Cloud Compression</w:t>
            </w:r>
          </w:p>
        </w:tc>
      </w:tr>
    </w:tbl>
    <w:p w:rsidR="00CB6FF9" w:rsidRPr="00EB4AF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CB6FF9" w:rsidRPr="00EB4AF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CB6FF9" w:rsidRPr="00D6323E" w:rsidRDefault="00D6323E" w:rsidP="00451EDE">
      <w:pPr>
        <w:widowControl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D6323E">
        <w:rPr>
          <w:rFonts w:ascii="Times New Roman" w:hAnsi="Times New Roman"/>
          <w:b/>
          <w:sz w:val="24"/>
        </w:rPr>
        <w:t xml:space="preserve">Draft </w:t>
      </w:r>
      <w:proofErr w:type="spellStart"/>
      <w:r w:rsidRPr="00D6323E">
        <w:rPr>
          <w:rFonts w:ascii="Times New Roman" w:hAnsi="Times New Roman"/>
          <w:b/>
          <w:sz w:val="24"/>
        </w:rPr>
        <w:t>DoC</w:t>
      </w:r>
      <w:proofErr w:type="spellEnd"/>
      <w:r w:rsidRPr="00D6323E">
        <w:rPr>
          <w:rFonts w:ascii="Times New Roman" w:hAnsi="Times New Roman"/>
          <w:b/>
          <w:sz w:val="24"/>
        </w:rPr>
        <w:t xml:space="preserve"> for ISO/IEC CD 23090-9 Geometry-based Point Cloud Compression</w:t>
      </w:r>
    </w:p>
    <w:p w:rsidR="00CB6FF9" w:rsidRPr="00EB4AF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CB6FF9" w:rsidRPr="00EB4AF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D6323E" w:rsidRPr="005B217D" w:rsidRDefault="00D6323E" w:rsidP="00D6323E">
      <w:pPr>
        <w:tabs>
          <w:tab w:val="left" w:pos="1800"/>
          <w:tab w:val="right" w:pos="9360"/>
        </w:tabs>
        <w:spacing w:before="120" w:after="240"/>
        <w:jc w:val="center"/>
        <w:rPr>
          <w:lang w:val="en-CA"/>
        </w:rPr>
      </w:pPr>
      <w:r w:rsidRPr="005B217D">
        <w:rPr>
          <w:u w:val="single"/>
          <w:lang w:val="en-CA"/>
        </w:rPr>
        <w:t>_____________________________</w:t>
      </w:r>
    </w:p>
    <w:p w:rsidR="00D6323E" w:rsidRDefault="00D6323E" w:rsidP="00D6323E">
      <w:pPr>
        <w:rPr>
          <w:lang w:val="en-CA"/>
        </w:rPr>
      </w:pPr>
      <w:r>
        <w:rPr>
          <w:lang w:val="en-CA"/>
        </w:rPr>
        <w:t>NOTE: This is a draft only – actual disposition of comments will be generated as an output of the MPEG 129</w:t>
      </w:r>
      <w:r w:rsidRPr="00D6323E">
        <w:rPr>
          <w:vertAlign w:val="superscript"/>
          <w:lang w:val="en-CA"/>
        </w:rPr>
        <w:t>th</w:t>
      </w:r>
      <w:r>
        <w:rPr>
          <w:lang w:val="en-CA"/>
        </w:rPr>
        <w:t xml:space="preserve"> Brussel meeting.</w:t>
      </w:r>
    </w:p>
    <w:p w:rsidR="001740C7" w:rsidRDefault="001740C7" w:rsidP="001740C7">
      <w:pPr>
        <w:pStyle w:val="1"/>
        <w:rPr>
          <w:rFonts w:eastAsiaTheme="minorEastAsia"/>
          <w:lang w:val="en-CA" w:eastAsia="ja-JP"/>
        </w:rPr>
      </w:pPr>
      <w:r>
        <w:rPr>
          <w:rFonts w:eastAsiaTheme="minorEastAsia" w:hint="eastAsia"/>
          <w:lang w:val="en-CA" w:eastAsia="ja-JP"/>
        </w:rPr>
        <w:t>G</w:t>
      </w:r>
      <w:r>
        <w:rPr>
          <w:rFonts w:eastAsiaTheme="minorEastAsia"/>
          <w:lang w:val="en-CA" w:eastAsia="ja-JP"/>
        </w:rPr>
        <w:t xml:space="preserve">eneral </w:t>
      </w:r>
    </w:p>
    <w:p w:rsidR="00941866" w:rsidRPr="00941866" w:rsidRDefault="00941866" w:rsidP="00941866">
      <w:r>
        <w:t>List of general issues with classification:</w:t>
      </w:r>
    </w:p>
    <w:p w:rsidR="00101075" w:rsidRDefault="00101075" w:rsidP="00101075">
      <w:pPr>
        <w:pStyle w:val="2"/>
        <w:rPr>
          <w:lang w:eastAsia="ja-JP"/>
        </w:rPr>
      </w:pPr>
      <w:r>
        <w:rPr>
          <w:lang w:eastAsia="ja-JP"/>
        </w:rPr>
        <w:t>Definitions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22"/>
        <w:gridCol w:w="1269"/>
        <w:gridCol w:w="619"/>
        <w:gridCol w:w="2806"/>
        <w:gridCol w:w="2882"/>
        <w:gridCol w:w="1137"/>
      </w:tblGrid>
      <w:tr w:rsidR="00095C47" w:rsidRPr="005E18A5" w:rsidTr="002A5552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DBDBD"/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000000" w:fill="BDBDBD"/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</w:p>
          <w:p w:rsidR="00095C47" w:rsidRPr="005E18A5" w:rsidRDefault="00095C47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</w:p>
          <w:p w:rsidR="00095C47" w:rsidRPr="005E18A5" w:rsidRDefault="00095C47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Subclause</w:t>
            </w:r>
          </w:p>
          <w:p w:rsidR="00095C47" w:rsidRPr="005E18A5" w:rsidRDefault="00095C47" w:rsidP="005E18A5">
            <w:pPr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Figure/Table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000000" w:fill="BDBDBD"/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095C47" w:rsidRPr="005E18A5" w:rsidTr="002A5552">
        <w:trPr>
          <w:trHeight w:val="2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NC1</w:t>
            </w: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DBDBD"/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095C47" w:rsidRPr="005E18A5" w:rsidRDefault="00095C47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</w:tr>
      <w:tr w:rsidR="005E18A5" w:rsidRPr="005E18A5" w:rsidTr="005E18A5">
        <w:trPr>
          <w:trHeight w:val="269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US-019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6.1, 6.2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bookmarkStart w:id="0" w:name="_GoBack"/>
            <w:bookmarkEnd w:id="0"/>
            <w:proofErr w:type="spellStart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Essential subclauses, but incomplete.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Please consider making them complete.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5E18A5" w:rsidRPr="005E18A5" w:rsidTr="005E18A5">
        <w:trPr>
          <w:trHeight w:val="26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E18A5" w:rsidRPr="005E18A5" w:rsidTr="005E18A5">
        <w:trPr>
          <w:trHeight w:val="269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US-022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6.3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Empty subclause for “Geometry octree”. Unclear if they should be removed or to be completed.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Please clarify.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5E18A5" w:rsidRPr="005E18A5" w:rsidTr="005E18A5">
        <w:trPr>
          <w:trHeight w:val="26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E18A5" w:rsidRPr="005E18A5" w:rsidTr="005E18A5">
        <w:trPr>
          <w:trHeight w:val="269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US-023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6.4.2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The formula to update </w:t>
            </w:r>
            <w:proofErr w:type="spellStart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occMapP</w:t>
            </w:r>
            <w:proofErr w:type="spellEnd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does not seem to be correct.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Consider changing the formula to </w:t>
            </w:r>
            <w:proofErr w:type="spellStart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occMapP</w:t>
            </w:r>
            <w:proofErr w:type="spellEnd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= </w:t>
            </w:r>
            <w:proofErr w:type="spellStart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occMapP</w:t>
            </w:r>
            <w:proofErr w:type="spellEnd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| </w:t>
            </w:r>
            <w:proofErr w:type="gramStart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( (</w:t>
            </w:r>
            <w:proofErr w:type="gramEnd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( </w:t>
            </w:r>
            <w:proofErr w:type="spellStart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occMap</w:t>
            </w:r>
            <w:proofErr w:type="spellEnd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&gt;&gt; </w:t>
            </w:r>
            <w:proofErr w:type="spellStart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srcIdx</w:t>
            </w:r>
            <w:proofErr w:type="spellEnd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) &amp; 0x01) &lt;&lt; </w:t>
            </w:r>
            <w:proofErr w:type="spellStart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dstIdx</w:t>
            </w:r>
            <w:proofErr w:type="spellEnd"/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).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000000" w:fill="F3F3F3"/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18A5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5E18A5" w:rsidRPr="005E18A5" w:rsidTr="005E18A5">
        <w:trPr>
          <w:trHeight w:val="26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5E18A5" w:rsidRPr="005E18A5" w:rsidRDefault="005E18A5" w:rsidP="005E18A5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</w:tbl>
    <w:p w:rsidR="00101075" w:rsidRDefault="00101075" w:rsidP="001740C7">
      <w:pPr>
        <w:rPr>
          <w:lang w:val="en-CA"/>
        </w:rPr>
      </w:pPr>
    </w:p>
    <w:p w:rsidR="0046310E" w:rsidRDefault="0046310E" w:rsidP="001740C7">
      <w:pPr>
        <w:pStyle w:val="2"/>
        <w:rPr>
          <w:lang w:eastAsia="ja-JP"/>
        </w:rPr>
      </w:pPr>
      <w:r>
        <w:rPr>
          <w:lang w:eastAsia="ja-JP"/>
        </w:rPr>
        <w:t>Geometry coding</w:t>
      </w:r>
    </w:p>
    <w:p w:rsidR="00D654EF" w:rsidRPr="00D654EF" w:rsidRDefault="00D654EF" w:rsidP="00D654EF">
      <w:pPr>
        <w:rPr>
          <w:rFonts w:eastAsiaTheme="minorEastAsia"/>
          <w:lang w:val="x-none" w:eastAsia="ja-JP"/>
        </w:rPr>
      </w:pPr>
      <w:r>
        <w:rPr>
          <w:rFonts w:eastAsiaTheme="minorEastAsia" w:hint="eastAsia"/>
          <w:lang w:val="x-none" w:eastAsia="ja-JP"/>
        </w:rPr>
        <w:t>N</w:t>
      </w:r>
      <w:r>
        <w:rPr>
          <w:rFonts w:eastAsiaTheme="minorEastAsia"/>
          <w:lang w:val="x-none" w:eastAsia="ja-JP"/>
        </w:rPr>
        <w:t>ote - some include the HLS aspects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0"/>
        <w:gridCol w:w="1269"/>
        <w:gridCol w:w="619"/>
        <w:gridCol w:w="2484"/>
        <w:gridCol w:w="1984"/>
        <w:gridCol w:w="2399"/>
      </w:tblGrid>
      <w:tr w:rsidR="005E18A5" w:rsidRPr="0046310E" w:rsidTr="00823E26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2399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46310E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5E18A5" w:rsidRPr="0046310E" w:rsidTr="00823E26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US-029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7.3.3.2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248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gsh_num_points</w:t>
            </w:r>
            <w:proofErr w:type="spell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  <w:proofErr w:type="gram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does</w:t>
            </w:r>
            <w:proofErr w:type="gram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not seem to be necessary as it </w:t>
            </w: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can be derived after decoding the geometry.</w:t>
            </w:r>
          </w:p>
        </w:tc>
        <w:tc>
          <w:tcPr>
            <w:tcW w:w="198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Consider removing the syntax element.</w:t>
            </w:r>
          </w:p>
        </w:tc>
        <w:tc>
          <w:tcPr>
            <w:tcW w:w="2399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, 3DG welcomes proposals for </w:t>
            </w: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consideration.</w:t>
            </w: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Possible options are to:</w:t>
            </w: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 use SEI metadata</w:t>
            </w: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 add explicit check to decoding process</w:t>
            </w: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 add conformance constraints:</w:t>
            </w: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 bitstream: must have correct num points</w:t>
            </w: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 decoder: must do right thing</w:t>
            </w: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 remove and use levels instead</w:t>
            </w:r>
          </w:p>
        </w:tc>
      </w:tr>
      <w:tr w:rsidR="005E18A5" w:rsidRPr="0046310E" w:rsidTr="00823E26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US-053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7.4.3.4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248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In the paragraph starting with “When </w:t>
            </w: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direct_mode_flag</w:t>
            </w:r>
            <w:proofErr w:type="spell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equal to 0”, the initialization of </w:t>
            </w: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nodeIdx</w:t>
            </w:r>
            <w:proofErr w:type="spell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seems incorrect.</w:t>
            </w:r>
          </w:p>
        </w:tc>
        <w:tc>
          <w:tcPr>
            <w:tcW w:w="198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Consider initializing </w:t>
            </w: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nodeIdx</w:t>
            </w:r>
            <w:proofErr w:type="spell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to 0.</w:t>
            </w:r>
          </w:p>
        </w:tc>
        <w:tc>
          <w:tcPr>
            <w:tcW w:w="2399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5E18A5" w:rsidRPr="0046310E" w:rsidTr="00823E26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US-054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7.4.3.4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248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The equations after “If </w:t>
            </w: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NeighbAvailabilityMaskisnot</w:t>
            </w:r>
            <w:proofErr w:type="spell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equal to0, the following applies” do not seem to be correct. First, parenthesis should be used for '&amp;' operation. Second, the computed values do not seem to be the desired ones.</w:t>
            </w:r>
          </w:p>
        </w:tc>
        <w:tc>
          <w:tcPr>
            <w:tcW w:w="198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Fix the formula.</w:t>
            </w:r>
          </w:p>
        </w:tc>
        <w:tc>
          <w:tcPr>
            <w:tcW w:w="2399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5E18A5" w:rsidRPr="0046310E" w:rsidTr="00823E26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-093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7.4.3.5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248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Uncompleted semantics for geometry trisoup. Missing range on unbounded descriptors.</w:t>
            </w:r>
          </w:p>
        </w:tc>
        <w:tc>
          <w:tcPr>
            <w:tcW w:w="198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Define range for geometry trisoup syntax elements</w:t>
            </w:r>
          </w:p>
        </w:tc>
        <w:tc>
          <w:tcPr>
            <w:tcW w:w="2399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be reviewed, 3DG welcomes proposals for consideration</w:t>
            </w:r>
          </w:p>
        </w:tc>
      </w:tr>
      <w:tr w:rsidR="005E18A5" w:rsidRPr="0046310E" w:rsidTr="00823E26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US-064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9.1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248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trisoup </w:t>
            </w: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segment_indicator</w:t>
            </w:r>
            <w:proofErr w:type="spell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and </w:t>
            </w: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vertex_position</w:t>
            </w:r>
            <w:proofErr w:type="spell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  <w:proofErr w:type="gram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are</w:t>
            </w:r>
            <w:proofErr w:type="gram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unary coded with large values of </w:t>
            </w: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maxVal</w:t>
            </w:r>
            <w:proofErr w:type="spell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98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The committee should consider alternative </w:t>
            </w:r>
            <w:proofErr w:type="spellStart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binarisation</w:t>
            </w:r>
            <w:proofErr w:type="spellEnd"/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schemes.</w:t>
            </w:r>
          </w:p>
        </w:tc>
        <w:tc>
          <w:tcPr>
            <w:tcW w:w="2399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5E18A5" w:rsidRPr="0046310E" w:rsidRDefault="005E18A5" w:rsidP="0046310E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310E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be reviewed, 3DG welcomes proposals for consideration</w:t>
            </w:r>
          </w:p>
        </w:tc>
      </w:tr>
    </w:tbl>
    <w:p w:rsidR="0046310E" w:rsidRDefault="0046310E" w:rsidP="001740C7">
      <w:pPr>
        <w:rPr>
          <w:lang w:val="en-CA"/>
        </w:rPr>
      </w:pPr>
    </w:p>
    <w:p w:rsidR="00F10850" w:rsidRDefault="00F10850" w:rsidP="00F10850">
      <w:pPr>
        <w:pStyle w:val="2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>ttribute coding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9"/>
        <w:gridCol w:w="1269"/>
        <w:gridCol w:w="619"/>
        <w:gridCol w:w="2969"/>
        <w:gridCol w:w="1943"/>
        <w:gridCol w:w="1946"/>
      </w:tblGrid>
      <w:tr w:rsidR="00B501F8" w:rsidRPr="00F10850" w:rsidTr="00B501F8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B501F8" w:rsidRPr="00F10850" w:rsidTr="00B501F8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-090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7.3.4.4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Unclear whether "values" is a variable or a syntax element.</w:t>
            </w: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Besides "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remaining_values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" should be renamed to not comprise the chain "values" already in use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Apply ISO/ITU-T rules for syntax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B501F8" w:rsidRPr="00F10850" w:rsidTr="00B501F8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US-030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7.3.4.2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Attribute slice header enumerates QP-related parameters specifically for 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luma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and chroma. How about the point clouds with different attribute types?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Please clarify or consider appropriate improvements.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. Recommend </w:t>
            </w:r>
            <w:proofErr w:type="gram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use</w:t>
            </w:r>
            <w:proofErr w:type="gram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component indexes rather than 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luma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/chroma</w:t>
            </w:r>
          </w:p>
        </w:tc>
      </w:tr>
      <w:tr w:rsidR="00B501F8" w:rsidRPr="00F10850" w:rsidTr="00B501F8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US-032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7.3.4.3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Consider removing the tight decoding dependency between 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maxPredDiff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and 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predIndex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with suitable constraints or by other technical means.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Evaluate technical measures to simplify implementations.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B501F8" w:rsidRPr="00F10850" w:rsidRDefault="00B501F8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be reviewed, 3DG welcomes proposals for consideration</w:t>
            </w:r>
          </w:p>
        </w:tc>
      </w:tr>
    </w:tbl>
    <w:p w:rsidR="00F10850" w:rsidRDefault="00F10850" w:rsidP="001740C7">
      <w:pPr>
        <w:rPr>
          <w:lang w:val="en-CA"/>
        </w:rPr>
      </w:pPr>
    </w:p>
    <w:p w:rsidR="00F10850" w:rsidRPr="00F10850" w:rsidRDefault="00F10850" w:rsidP="001740C7">
      <w:pPr>
        <w:pStyle w:val="2"/>
        <w:rPr>
          <w:lang w:eastAsia="ja-JP"/>
        </w:rPr>
      </w:pPr>
      <w:r>
        <w:rPr>
          <w:rFonts w:hint="eastAsia"/>
          <w:lang w:eastAsia="ja-JP"/>
        </w:rPr>
        <w:lastRenderedPageBreak/>
        <w:t>AEC</w:t>
      </w:r>
      <w:r>
        <w:rPr>
          <w:lang w:eastAsia="ja-JP"/>
        </w:rPr>
        <w:t xml:space="preserve"> (Arithmetic Entropy Coding)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7"/>
        <w:gridCol w:w="1269"/>
        <w:gridCol w:w="619"/>
        <w:gridCol w:w="3632"/>
        <w:gridCol w:w="1848"/>
        <w:gridCol w:w="1280"/>
      </w:tblGrid>
      <w:tr w:rsidR="00CF06E2" w:rsidRPr="00F10850" w:rsidTr="00CF06E2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CF06E2" w:rsidRPr="00F10850" w:rsidTr="00CF06E2">
        <w:trPr>
          <w:trHeight w:val="2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CA-066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CF06E2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9.5.1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descriptor for dictionary-based parsing should be de(v) and not ae(v)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Change the descriptor to de(v)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</w:tbl>
    <w:p w:rsidR="001740C7" w:rsidRDefault="001740C7" w:rsidP="001740C7">
      <w:pPr>
        <w:rPr>
          <w:lang w:val="en-CA"/>
        </w:rPr>
      </w:pPr>
    </w:p>
    <w:p w:rsidR="00793FB7" w:rsidRPr="00793FB7" w:rsidRDefault="00793FB7" w:rsidP="001740C7">
      <w:pPr>
        <w:pStyle w:val="2"/>
        <w:rPr>
          <w:lang w:eastAsia="ja-JP"/>
        </w:rPr>
      </w:pPr>
      <w:r>
        <w:rPr>
          <w:lang w:eastAsia="ja-JP"/>
        </w:rPr>
        <w:t>HLS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34"/>
        <w:gridCol w:w="1198"/>
        <w:gridCol w:w="591"/>
        <w:gridCol w:w="2608"/>
        <w:gridCol w:w="2272"/>
        <w:gridCol w:w="2132"/>
      </w:tblGrid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793FB7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US-001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20"/>
                <w:szCs w:val="20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20"/>
                <w:szCs w:val="20"/>
                <w:lang w:eastAsia="ja-JP"/>
              </w:rPr>
              <w:t xml:space="preserve">　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bitstream format does not adequately support identification of frames at the slice level.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Consider adding the ability to signal multiple frames.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This has been addressed by the adoption of m51025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US-006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20"/>
                <w:szCs w:val="20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Table 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Review if further attribute types should be identified.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Add frame index attribute type and any further types identified by the committee.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be reviewed, 3DG welcomes proposals for consideration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US-025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sps_source_scale_factor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should be represented as a rational number.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Include _numerator, and _denominator syntax elements.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encoding of numerator and denominator needs to be defined. 3DG welcomes proposals for consideration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US-028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7.3.2.4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Consider if GPS and APS should be merged into a single parameter set, while retaining the functionality of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signalling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multiple GPS/APS variants.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Give due consideration to the use of the feature versus needs of high-level encapsulation.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the benefit of merging the two seems to be outweighed by the loss of flexibility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US-037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Parameter set contents should be identical within a sequence.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Add constraint on parameter set contents.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, recommend </w:t>
            </w:r>
            <w:proofErr w:type="gram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add</w:t>
            </w:r>
            <w:proofErr w:type="gram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constraint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-089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7.3.2.1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7.4.2.1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profile_compatibility_flags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syntax and semantics are inconsistent: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 xml:space="preserve">-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profile_idc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undefined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 xml:space="preserve">-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profile_compatibility_flags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semantics describes an array while a bitwise operator might be intended?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Harmonize syntax and semantics of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profile_compatibility_flags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-092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attribute_label_four_types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32 bits long but Table 5 defining the semantics only defines 2 values. Remaining values seem "unspecified"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Consider shortening the 4 bytes reserved values.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Define a range of "reserved (for future use)" values and possibly one value that is "unspecified" (e.g. value 2). Please see MPEG video coding standards usage of terms "reserved" and "unspecified"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The term 'unspecified' has a meaning consistent with that of 3.1.14.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 xml:space="preserve">The purpose of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attribute_label_four_bytes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to provide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fourcc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style naming of attributes for user applications.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 xml:space="preserve">Recommended to reserve part of the range for future use by known ids,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0 - 255.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 xml:space="preserve">Recommended to mark the rest of the range as 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unspecified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Further input is welcomed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US-024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Consider adding an SPS constraint flag indicating that all points are unique for all slices in a frame.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This has been addressed by the adoption of m51064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US-039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Clarify semantics of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sps_extension_present_flag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flag must be equal to 0 for bitstream conformance with this version of the specification, but decoders must accept a value equal to 1.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recommended to use proposed fix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US-041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sps_bounding_box_size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_* should not be inferred equal to 1 when not </w:t>
            </w:r>
            <w:proofErr w:type="spellStart"/>
            <w:proofErr w:type="gram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present.In</w:t>
            </w:r>
            <w:proofErr w:type="spellEnd"/>
            <w:proofErr w:type="gram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such cases, the bounding box is not known, and point positions are limited by level constraints.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recommended to remove inference and specify that when not present the bounding box is unspecified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US-042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Text is ambiguous as to whether the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sps_bounding_box_scale_factor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applies to the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sps_bounding_box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_* values.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Clarify the interpretation of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sps_bounding_box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_* values.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recommended that only the (</w:t>
            </w:r>
            <w:proofErr w:type="spellStart"/>
            <w:proofErr w:type="gram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x,y</w:t>
            </w:r>
            <w:proofErr w:type="gram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,z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) position should be scaled.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Consider renaming the element to indicate that scaling applies to the offset.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US-044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sps_bounding_box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_* should be rephrased to refer to the reconstructed output rather than the source format.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, recommend </w:t>
            </w:r>
            <w:proofErr w:type="gram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accept</w:t>
            </w:r>
            <w:proofErr w:type="gramEnd"/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US-045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profile_compatibility_flags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review text requiring unknown values to be zero.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A decoder must accept unknown values being </w:t>
            </w:r>
            <w:proofErr w:type="gram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1.For</w:t>
            </w:r>
            <w:proofErr w:type="gram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bitstream conformance with this specification, the value must be zero.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further analysis is required.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US-026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7.3.2.2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Consider representation of tile inventory syntax elements.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Consider alternatives to ue(v) and se(v).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recommend to: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 xml:space="preserve">- change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num_tiles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to </w:t>
            </w:r>
            <w:proofErr w:type="gram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u(</w:t>
            </w:r>
            <w:proofErr w:type="gram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16)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 add syntax element to specify log2_bounding_box_max, and use u(n)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Further consideration should be given to the limit on n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US-027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7.3.2.2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The subclause is neither called by any parent subclause nor listed as an independent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tlv_type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Please clarify or consider appropriate improvements.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, recommend </w:t>
            </w:r>
            <w:proofErr w:type="gram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add</w:t>
            </w:r>
            <w:proofErr w:type="gram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missing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tlv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type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US-046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Review necessity of permitting setting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num_tiles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to 0.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Minimum value for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num_tiles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(when inventory is present) should be 1.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, recommend </w:t>
            </w:r>
            <w:proofErr w:type="gram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use</w:t>
            </w:r>
            <w:proofErr w:type="gram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minimum of one tile in the inventory and rename syntax element. It is noted that there is a possible interaction with multi-frame sequences. It is recommended to review this aspect of m51025 which was not presented at the </w:t>
            </w: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 xml:space="preserve">meeting. If a persistence method is used for tiles, then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num_tiles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may need to be capable of being 0 to clear persistence.</w:t>
            </w:r>
          </w:p>
        </w:tc>
      </w:tr>
      <w:tr w:rsidR="00CF06E2" w:rsidRPr="00793FB7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US-047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Review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behaviour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when tile inventory is not present.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tile_bounding_box_offset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_* should not be inferred equal to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sps_bounding_box_offset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_* and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tile_bounding_box_size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_* should not be inferred equal to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sps_bounding_box_size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_*.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793FB7" w:rsidRDefault="00CF06E2" w:rsidP="00793FB7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, recommend </w:t>
            </w:r>
            <w:proofErr w:type="gramStart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accept</w:t>
            </w:r>
            <w:proofErr w:type="gramEnd"/>
            <w:r w:rsidRPr="00793FB7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proposed change</w:t>
            </w:r>
          </w:p>
        </w:tc>
      </w:tr>
    </w:tbl>
    <w:p w:rsidR="00F10850" w:rsidRDefault="00F10850" w:rsidP="001740C7">
      <w:pPr>
        <w:rPr>
          <w:lang w:val="en-CA"/>
        </w:rPr>
      </w:pPr>
    </w:p>
    <w:p w:rsidR="00DD3F76" w:rsidRPr="00DD3F76" w:rsidRDefault="00DD3F76" w:rsidP="00DD3F76">
      <w:pPr>
        <w:pStyle w:val="2"/>
        <w:rPr>
          <w:lang w:eastAsia="ja-JP"/>
        </w:rPr>
      </w:pPr>
      <w:r>
        <w:rPr>
          <w:rFonts w:hint="eastAsia"/>
          <w:lang w:eastAsia="ja-JP"/>
        </w:rPr>
        <w:t>P</w:t>
      </w:r>
      <w:r>
        <w:rPr>
          <w:lang w:eastAsia="ja-JP"/>
        </w:rPr>
        <w:t>rofile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5"/>
        <w:gridCol w:w="1269"/>
        <w:gridCol w:w="619"/>
        <w:gridCol w:w="2509"/>
        <w:gridCol w:w="2383"/>
        <w:gridCol w:w="1950"/>
      </w:tblGrid>
      <w:tr w:rsidR="00CF06E2" w:rsidRPr="00DD3F76" w:rsidTr="00CF06E2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DD3F7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CF06E2" w:rsidRPr="00DD3F76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-085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CF06E2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Annex 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Profiles, levels, conformance points should be defined and set for the sake of interoperability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Set profiles, levels and conformance point in a further version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be reviewed, 3DG welcomes proposals for consideration</w:t>
            </w:r>
          </w:p>
        </w:tc>
      </w:tr>
      <w:tr w:rsidR="00CF06E2" w:rsidRPr="00DD3F76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US-071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CF06E2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No profiles or levels are defined in the specification.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Consider useful operating points in the definition of profiles to address identified use cases.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DD3F76" w:rsidRDefault="00CF06E2" w:rsidP="00DD3F7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DD3F7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be reviewed, 3DG welcomes proposals for consideration</w:t>
            </w:r>
          </w:p>
        </w:tc>
      </w:tr>
    </w:tbl>
    <w:p w:rsidR="00F10850" w:rsidRPr="001740C7" w:rsidRDefault="00F10850" w:rsidP="001740C7">
      <w:pPr>
        <w:rPr>
          <w:lang w:val="en-CA"/>
        </w:rPr>
      </w:pPr>
    </w:p>
    <w:p w:rsidR="00D6323E" w:rsidRDefault="00D6323E" w:rsidP="00D6323E">
      <w:pPr>
        <w:pStyle w:val="1"/>
        <w:rPr>
          <w:lang w:val="en-CA"/>
        </w:rPr>
      </w:pPr>
      <w:r>
        <w:rPr>
          <w:lang w:val="en-CA"/>
        </w:rPr>
        <w:t>Technical Changes</w:t>
      </w:r>
    </w:p>
    <w:p w:rsidR="00D6323E" w:rsidRDefault="00D6323E" w:rsidP="00720DCC">
      <w:r>
        <w:t>Technical issues are not considered as bug fix and need to be discussed be the group to confirm that the required change is intended.</w:t>
      </w:r>
    </w:p>
    <w:p w:rsidR="00720DCC" w:rsidRDefault="00720DCC" w:rsidP="00720DCC">
      <w:pPr>
        <w:pStyle w:val="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G</w:t>
      </w:r>
      <w:r>
        <w:rPr>
          <w:rFonts w:eastAsiaTheme="minorEastAsia"/>
          <w:lang w:eastAsia="ja-JP"/>
        </w:rPr>
        <w:t>eneral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6"/>
        <w:gridCol w:w="1269"/>
        <w:gridCol w:w="619"/>
        <w:gridCol w:w="2547"/>
        <w:gridCol w:w="1959"/>
        <w:gridCol w:w="2255"/>
      </w:tblGrid>
      <w:tr w:rsidR="00CF06E2" w:rsidRPr="00F10850" w:rsidTr="00CF06E2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CF06E2" w:rsidRPr="00F10850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CA-081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There are still a few technologies under evaluation which improve the compression efficiency of some sequences by more than 50%. </w:t>
            </w:r>
            <w:proofErr w:type="gram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It is clear that G-PCC</w:t>
            </w:r>
            <w:proofErr w:type="gram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technologies and the specification are not yet in a stable enough phase to reach the DIS stage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Maintain the document at the CD stage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gram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 number of</w:t>
            </w:r>
            <w:proofErr w:type="gram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contributions under consideration have been adopted at this meeting, notably m50008 and m50921 on geometry coding. Further proposals made at this meeting are under active consideration in Core Experiments.</w:t>
            </w:r>
          </w:p>
        </w:tc>
      </w:tr>
      <w:tr w:rsidR="00CF06E2" w:rsidRPr="00F10850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-079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Grammatical approximations that may beget misinterpretation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Proofread the entire specification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CF06E2" w:rsidRPr="00F10850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-094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clause 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Figures for describing processes (e.g. decoding process) would </w:t>
            </w:r>
            <w:proofErr w:type="gram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be helpful in understanding</w:t>
            </w:r>
            <w:proofErr w:type="gram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the specified technology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It is suggested to add descriptive figures, architecture diagram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CF06E2" w:rsidRPr="00F10850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JP01-095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General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Editorial refinement and further technical improvement are necessary to ensure the interoperability of the implementation of this standard.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For the DIS text, accept the refinement and improvement based on the technical discussion till the 128th WG11 meeting, e.g. CE results, AHG discussion, etc.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text will be reviewed and refined. Technical improvements have been adopted and 3DG welcomes further input</w:t>
            </w:r>
          </w:p>
        </w:tc>
      </w:tr>
      <w:tr w:rsidR="00CF06E2" w:rsidRPr="00F10850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US-072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Document layout is inconsistent.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Review layout of document and code fragments for consistency.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CF06E2" w:rsidRPr="00F10850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US-077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text should be checked to ensure completeness, correctness, and editorial maturity.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Please make editorial improvements and consider all appropriate technical contributions.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F10850" w:rsidRDefault="00CF06E2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</w:tbl>
    <w:p w:rsidR="006547F0" w:rsidRDefault="006547F0" w:rsidP="006547F0">
      <w:pPr>
        <w:rPr>
          <w:rFonts w:eastAsiaTheme="minorEastAsia"/>
          <w:lang w:val="x-none" w:eastAsia="ja-JP"/>
        </w:rPr>
      </w:pPr>
    </w:p>
    <w:p w:rsidR="00F10850" w:rsidRDefault="00F10850" w:rsidP="00F10850">
      <w:pPr>
        <w:pStyle w:val="2"/>
        <w:rPr>
          <w:lang w:eastAsia="ja-JP"/>
        </w:rPr>
      </w:pPr>
      <w:r>
        <w:rPr>
          <w:lang w:eastAsia="ja-JP"/>
        </w:rPr>
        <w:t>Definitions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7"/>
        <w:gridCol w:w="1269"/>
        <w:gridCol w:w="619"/>
        <w:gridCol w:w="3473"/>
        <w:gridCol w:w="2293"/>
        <w:gridCol w:w="1084"/>
      </w:tblGrid>
      <w:tr w:rsidR="00CF06E2" w:rsidRPr="00C51DBF" w:rsidTr="00CF06E2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C51DBF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CF06E2" w:rsidRPr="00C51DBF" w:rsidTr="00CF06E2">
        <w:trPr>
          <w:trHeight w:val="2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-078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CF06E2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Clause 3.1.5 defines attribute and provides examples (also cited in Table 5 e.g. reflectance) however clauses 3.3 on "Attribute coding related" only mentions </w:t>
            </w:r>
            <w:proofErr w:type="spellStart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luma</w:t>
            </w:r>
            <w:proofErr w:type="spellEnd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and chroma kind of attributes.</w:t>
            </w: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 xml:space="preserve">Attribute slice header provides information specific to </w:t>
            </w:r>
            <w:proofErr w:type="spellStart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luma</w:t>
            </w:r>
            <w:proofErr w:type="spellEnd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/chroma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Clarify whether the G-PCC standard applies only to </w:t>
            </w:r>
            <w:proofErr w:type="spellStart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luma</w:t>
            </w:r>
            <w:proofErr w:type="spellEnd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/chroma attributes and possibly generalize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CF06E2" w:rsidRPr="00C51DBF" w:rsidTr="00CF06E2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US-009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CF06E2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3.3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Luma</w:t>
            </w:r>
            <w:proofErr w:type="spellEnd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and chroma listed. Would attributes other than </w:t>
            </w:r>
            <w:proofErr w:type="spellStart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luma</w:t>
            </w:r>
            <w:proofErr w:type="spellEnd"/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/chroma, e.g., “reflectance” be addressed?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Please clarify or consider adding at least one other attribute type in Section 3.3.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CF06E2" w:rsidRPr="00C51DBF" w:rsidRDefault="00CF06E2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C51DBF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</w:tbl>
    <w:p w:rsidR="00F10850" w:rsidRPr="006547F0" w:rsidRDefault="00F10850" w:rsidP="006547F0">
      <w:pPr>
        <w:rPr>
          <w:rFonts w:eastAsiaTheme="minorEastAsia"/>
          <w:lang w:val="x-none" w:eastAsia="ja-JP"/>
        </w:rPr>
      </w:pPr>
    </w:p>
    <w:p w:rsidR="00720DCC" w:rsidRDefault="00720DCC" w:rsidP="00720DCC">
      <w:pPr>
        <w:pStyle w:val="2"/>
        <w:rPr>
          <w:lang w:eastAsia="ja-JP"/>
        </w:rPr>
      </w:pPr>
      <w:r>
        <w:rPr>
          <w:lang w:eastAsia="ja-JP"/>
        </w:rPr>
        <w:t>HLS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7"/>
        <w:gridCol w:w="1269"/>
        <w:gridCol w:w="619"/>
        <w:gridCol w:w="2467"/>
        <w:gridCol w:w="2169"/>
        <w:gridCol w:w="2234"/>
      </w:tblGrid>
      <w:tr w:rsidR="003B15DE" w:rsidRPr="00F10850" w:rsidTr="00C11C83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F10850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3B15DE" w:rsidRPr="00F10850" w:rsidTr="00944048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-086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B15DE" w:rsidRPr="003B15DE" w:rsidRDefault="003B15DE" w:rsidP="003B15D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clause 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Bitstream format should be defined. Some bitstream structures are aligned with 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byte_</w:t>
            </w:r>
            <w:proofErr w:type="gram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alignment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(</w:t>
            </w:r>
            <w:proofErr w:type="gram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) (clause 7.3.2) and may help with Annex B however no bit stream format is defined.</w:t>
            </w: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Unclear how tiles/slices are organized in the bitstream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It is suggested to synchronize with V-PCC and MPEG systems to define a bitstream format consistent with MPEG usage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bottom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 The annex B encapsulation format is suitable for use in MPEG systems, and alignment with V-PCC is not deemed to be necessary.</w:t>
            </w: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Organisation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of tiles and slices will be described in section 6 on the coded data format.</w:t>
            </w:r>
          </w:p>
        </w:tc>
      </w:tr>
      <w:tr w:rsidR="003B15DE" w:rsidRPr="00F10850" w:rsidTr="00BB662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US-075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B15DE" w:rsidRPr="003B15DE" w:rsidRDefault="003B15DE" w:rsidP="003B15D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Byte stream appears to be structured in a rather different manner in other MPEG codec standards, e.g. V-PCC.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Please consider defining 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bytestream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format consisting of a sequence of units </w:t>
            </w:r>
            <w:proofErr w:type="gram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similar to</w:t>
            </w:r>
            <w:proofErr w:type="gram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what is defined for V-PCC, or appropriate technical improvements.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vAlign w:val="bottom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 The annex B encapsulation format conveys a sequence of units. Further alignment with V-PCC is not deemed to be necessary due the differing codec design</w:t>
            </w:r>
          </w:p>
        </w:tc>
      </w:tr>
      <w:tr w:rsidR="003B15DE" w:rsidRPr="00F10850" w:rsidTr="00BA603C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US-076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B15DE" w:rsidRPr="003B15DE" w:rsidRDefault="003B15DE" w:rsidP="003B15DE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ge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Some text and HLS are explicitly for </w:t>
            </w:r>
            <w:proofErr w:type="spellStart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luma</w:t>
            </w:r>
            <w:proofErr w:type="spellEnd"/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and chroma. The text should be checked to ensure completeness with other attribute types.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Please make editorial improvements and consider all appropriate technical improvements.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3B15DE" w:rsidRPr="00F10850" w:rsidRDefault="003B15DE" w:rsidP="00F10850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F10850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</w:tbl>
    <w:p w:rsidR="00720DCC" w:rsidRDefault="00720DCC" w:rsidP="00720DCC"/>
    <w:p w:rsidR="00D6323E" w:rsidRDefault="00D6323E" w:rsidP="00D6323E">
      <w:pPr>
        <w:pStyle w:val="1"/>
        <w:rPr>
          <w:lang w:val="en-CA"/>
        </w:rPr>
      </w:pPr>
      <w:r>
        <w:rPr>
          <w:lang w:val="en-CA"/>
        </w:rPr>
        <w:t>Editorial (primarily delegated to editors for detailed consideration)</w:t>
      </w:r>
    </w:p>
    <w:p w:rsidR="00D6323E" w:rsidRDefault="00D6323E" w:rsidP="00D6323E">
      <w:r>
        <w:t>List of editorial issues with classification:</w:t>
      </w:r>
    </w:p>
    <w:p w:rsidR="00F10850" w:rsidRDefault="00F10850" w:rsidP="00F10850">
      <w:pPr>
        <w:pStyle w:val="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G</w:t>
      </w:r>
      <w:r>
        <w:rPr>
          <w:rFonts w:eastAsiaTheme="minorEastAsia"/>
          <w:lang w:eastAsia="ja-JP"/>
        </w:rPr>
        <w:t>eneral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9"/>
        <w:gridCol w:w="1269"/>
        <w:gridCol w:w="619"/>
        <w:gridCol w:w="2471"/>
        <w:gridCol w:w="2957"/>
        <w:gridCol w:w="1440"/>
      </w:tblGrid>
      <w:tr w:rsidR="0036620D" w:rsidRPr="00827636" w:rsidTr="007835D3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CA-080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Different sections of the specification are written in different styles, in part due to the constant technical changes that are currently happening.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 review of the specification is required to harmonize the styles of various sections before the document can be moved to the DIS stage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-087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6, 7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term "source" is used in different context but is undefined e.g. "source boundary box", "source point cloud"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Clarify source meaning relatively to the context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-088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Syntax elements are sometimes camelCase and sometimes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snake_case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Apply ISO/ITU-T rules for syntax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FR-096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Introduction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introduction states that the draft standard correspond to Geometry-based PCC however no specificities related to this standard is mentioned in the introduction.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Add few sentences at the end of the introduction stipulating specific intent characterizing Geometry-based PCC standard (against other PCC standards). Ditto clause 1 "Scope".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 Text will be refined and reviewed at the next meeting.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US-002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20"/>
                <w:szCs w:val="20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Table 1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Table 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Add index values to table columns/rows to improve readability and maintain consistency with specification text.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US-007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Review definitions for specification coverage.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For </w:t>
            </w:r>
            <w:proofErr w:type="gram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example</w:t>
            </w:r>
            <w:proofErr w:type="gram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define "sibling node (geometry octree)".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US-038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Review text for omitted word 'bitstream' or equivalent.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US-056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7.4.4.3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Functions </w:t>
            </w:r>
            <w:proofErr w:type="gram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min( )</w:t>
            </w:r>
            <w:proofErr w:type="gram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and max( ) are used instead of Min( ) and Max( ).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Fix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US-073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Review use of language in boilerplate text such as 'Input of the process', 'Output of the process', and other variants.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Ensure consistency throughout the </w:t>
            </w:r>
            <w:proofErr w:type="spellStart"/>
            <w:proofErr w:type="gram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document.Use</w:t>
            </w:r>
            <w:proofErr w:type="spellEnd"/>
            <w:proofErr w:type="gram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definitive article to improve readability.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US-074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Review the use of language for agreement in number.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For example, correct '5.8.1 Inputs of the process are the variables a and b'.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US-082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All,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5.9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Avoid use of array sizes to convey pseudo type information (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eg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  <w:proofErr w:type="gram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c[</w:t>
            </w:r>
            <w:proofErr w:type="gram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3] =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CrossProduct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...) that is not 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described by the document conventions.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36620D" w:rsidRPr="00827636" w:rsidTr="0036620D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US-083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All,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5.8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Check for consistent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capitalisation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of function and variable names.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Fix inconsistencies with, for example, [Ss]impleAtan2, [Aa]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tanLut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,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popCnt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, iLog2,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iSqrt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divExp2RoundHalfInf, etc.,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36620D" w:rsidRPr="00827636" w:rsidRDefault="0036620D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</w:tbl>
    <w:p w:rsidR="00F10850" w:rsidRPr="00720DCC" w:rsidRDefault="00F10850" w:rsidP="00F10850">
      <w:pPr>
        <w:rPr>
          <w:rFonts w:eastAsiaTheme="minorEastAsia"/>
          <w:lang w:val="x-none" w:eastAsia="ja-JP"/>
        </w:rPr>
      </w:pPr>
    </w:p>
    <w:p w:rsidR="00386DF0" w:rsidRPr="00386DF0" w:rsidRDefault="00386DF0" w:rsidP="00386DF0">
      <w:pPr>
        <w:rPr>
          <w:rFonts w:eastAsiaTheme="minorEastAsia"/>
          <w:lang w:val="x-none" w:eastAsia="ja-JP"/>
        </w:rPr>
      </w:pPr>
    </w:p>
    <w:p w:rsidR="00386DF0" w:rsidRDefault="00386DF0" w:rsidP="00386DF0">
      <w:pPr>
        <w:pStyle w:val="2"/>
        <w:rPr>
          <w:lang w:eastAsia="ja-JP"/>
        </w:rPr>
      </w:pPr>
      <w:r>
        <w:rPr>
          <w:lang w:eastAsia="ja-JP"/>
        </w:rPr>
        <w:t>Definitions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1269"/>
        <w:gridCol w:w="619"/>
        <w:gridCol w:w="2411"/>
        <w:gridCol w:w="3352"/>
        <w:gridCol w:w="1086"/>
      </w:tblGrid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US-008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3.1.19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term “slice” to be defined is referenced in its definition.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Please consider appropriate improvements.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US-010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3.3.3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A_1 seems duplicated in the text (A_1A_1 through A_D).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Fix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US-011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5.8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In the definitions of </w:t>
            </w:r>
            <w:proofErr w:type="gram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Min( )</w:t>
            </w:r>
            <w:proofErr w:type="gram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Max( ) and Sign( ) the right hand side of the equations is repeated.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Fix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US-012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5.8.1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variable z is used but not defined.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Add definition.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US-013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5.8.1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name of the simpleAtan2 function should be reviewed.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Capitalisation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inconsistent in the text; the simple adjective is not necessary; correct typo in paragraph 2 (SimplAtan2).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US-014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5.8.2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 textual description may be more straightforward.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Consider text in the form 'the number of 1-valued bits present in the binary representation of x'.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US-015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5.8.2</w:t>
            </w: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5.8.3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There is no need to specify a constraint on x, since it must always be true.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Remove constraint.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US-016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5.11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Consider adding octal and binary representation formats that are used in the text.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US-017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No definition of what constitutes a slice in terms of data units.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Add definition.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US-018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There is no description of the output point representation used by the specification.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Clarify the output of the decoding process, and </w:t>
            </w:r>
            <w:proofErr w:type="gram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in particular how</w:t>
            </w:r>
            <w:proofErr w:type="gram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the indices of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RecPic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(constructed in 8.4) function in relation to the attribute descriptors in the SPS (7.3.2.1).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US-020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6.1, 6.2, 6.3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Sections are missing content.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US-021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6.2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Should “picture format” be “point cloud format”?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Please clarify.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720DCC" w:rsidTr="000D41AE">
        <w:trPr>
          <w:trHeight w:val="45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US-059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8.2.2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term "packed geometry octree" is used but not defined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Add definition.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720DCC" w:rsidRDefault="000D41AE" w:rsidP="00720DCC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</w:tbl>
    <w:p w:rsidR="00386DF0" w:rsidRPr="00386DF0" w:rsidRDefault="00386DF0" w:rsidP="00720DCC">
      <w:pPr>
        <w:rPr>
          <w:lang w:eastAsia="ja-JP"/>
        </w:rPr>
      </w:pPr>
    </w:p>
    <w:p w:rsidR="00386DF0" w:rsidRDefault="00386DF0" w:rsidP="00386DF0">
      <w:pPr>
        <w:pStyle w:val="2"/>
        <w:rPr>
          <w:lang w:eastAsia="ja-JP"/>
        </w:rPr>
      </w:pPr>
      <w:r>
        <w:rPr>
          <w:lang w:eastAsia="ja-JP"/>
        </w:rPr>
        <w:t>Geometry coding</w:t>
      </w:r>
    </w:p>
    <w:p w:rsidR="00720DCC" w:rsidRPr="00720DCC" w:rsidRDefault="00720DCC" w:rsidP="00720DCC">
      <w:pPr>
        <w:rPr>
          <w:rFonts w:eastAsiaTheme="minorEastAsia"/>
          <w:lang w:val="x-none" w:eastAsia="ja-JP"/>
        </w:rPr>
      </w:pPr>
      <w:r>
        <w:rPr>
          <w:rFonts w:eastAsiaTheme="minorEastAsia" w:hint="eastAsia"/>
          <w:lang w:val="x-none" w:eastAsia="ja-JP"/>
        </w:rPr>
        <w:t>N</w:t>
      </w:r>
      <w:r>
        <w:rPr>
          <w:rFonts w:eastAsiaTheme="minorEastAsia"/>
          <w:lang w:val="x-none" w:eastAsia="ja-JP"/>
        </w:rPr>
        <w:t>ote - some include the HLS aspects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6"/>
        <w:gridCol w:w="1269"/>
        <w:gridCol w:w="619"/>
        <w:gridCol w:w="3556"/>
        <w:gridCol w:w="1752"/>
        <w:gridCol w:w="1543"/>
      </w:tblGrid>
      <w:tr w:rsidR="000D41AE" w:rsidRPr="00827636" w:rsidTr="00FA2E2B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lastRenderedPageBreak/>
              <w:t>MB/</w:t>
            </w: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0D41AE" w:rsidRPr="00827636" w:rsidTr="000D41AE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US-055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7.4.3.4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occupancy_byte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: 6.4.2 should be invoked with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occupancy_byte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as an input, not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occupancy_map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Fix semantic description.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827636" w:rsidTr="000D41AE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US-058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8.2.1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Remove reference to direct coding point.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827636" w:rsidTr="000D41AE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US-060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8.2.2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The calculation of </w:t>
            </w:r>
            <w:proofErr w:type="spellStart"/>
            <w:proofErr w:type="gram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x,y</w:t>
            </w:r>
            <w:proofErr w:type="gram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,z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using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childIdx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incorrect for x and y.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general form of the bit test should be "(a &amp; b) == b".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827636" w:rsidTr="000D41AE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US-061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8.2.2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PointCount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set but never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initialised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It should be set to 0 at the start of each slice.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827636" w:rsidTr="000D41AE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US-049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Variable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NeighbAvailBoundary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defined but not used.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Remove this definition or make use of the variable.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827636" w:rsidTr="000D41AE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US-050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“Six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neighbouring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parent nodes” seems ambiguous.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Specify the six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neighbouring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parent nodes.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0D41AE" w:rsidRPr="00827636" w:rsidTr="000D41AE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US-051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unique_geometry_points_flag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: does not preclude that points from different slices may have the same position.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Clarify semantics.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This has been addressed by the adoption of m51064</w:t>
            </w:r>
          </w:p>
        </w:tc>
      </w:tr>
      <w:tr w:rsidR="000D41AE" w:rsidRPr="00827636" w:rsidTr="000D41AE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US-052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7.4.3.2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The variable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origin_scale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does not follow the general naming conventions.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0D41AE" w:rsidRPr="00827636" w:rsidRDefault="000D41AE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</w:tbl>
    <w:p w:rsidR="00F10850" w:rsidRDefault="00F10850" w:rsidP="00F10850"/>
    <w:p w:rsidR="00F10850" w:rsidRDefault="00F10850" w:rsidP="00F10850">
      <w:pPr>
        <w:pStyle w:val="2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>ttribute coding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20"/>
        <w:gridCol w:w="1269"/>
        <w:gridCol w:w="619"/>
        <w:gridCol w:w="2820"/>
        <w:gridCol w:w="2872"/>
        <w:gridCol w:w="1135"/>
      </w:tblGrid>
      <w:tr w:rsidR="00E22A40" w:rsidRPr="00720DCC" w:rsidTr="00E22A40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E22A40" w:rsidRPr="00720DCC" w:rsidTr="00E22A40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US-031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7.3.4.3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Variable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pointCount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undefined.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Define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pointCount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E22A40" w:rsidRPr="00720DCC" w:rsidTr="00E22A40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US-033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7.3.4.3</w:t>
            </w: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7.4.4.3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maxPredDiff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accessed as an array, however, in 7.4.4.3 it is defined as a scalar variable.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Fix inconsistency.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E22A40" w:rsidRPr="00720DCC" w:rsidTr="00E22A40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US-034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7.3.4.3</w:t>
            </w: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7.4.4.3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Since there is a data dependency between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maxPredDiff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and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predIndex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the description of</w:t>
            </w: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neighbours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and their reconstructed values should refer to the reconstruction process.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Review semantic description.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E22A40" w:rsidRPr="00720DCC" w:rsidTr="00E22A40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US-035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7.3.4.3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Definition of dimension variable is inconsistent with document conventions.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Use a scoped variable for dimensionality of attribute data rather than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italicised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local variable.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E22A40" w:rsidRPr="00720DCC" w:rsidTr="00E22A40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US-036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7.3.4.4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Semantics of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isZero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name conflicts with earlier use of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zerorun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Rename syntax elements to better convey meaning.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E22A40" w:rsidRPr="00720DCC" w:rsidRDefault="00E22A40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</w:tbl>
    <w:p w:rsidR="00F10850" w:rsidRDefault="00F10850" w:rsidP="00F10850">
      <w:pPr>
        <w:rPr>
          <w:lang w:eastAsia="ja-JP"/>
        </w:rPr>
      </w:pPr>
    </w:p>
    <w:p w:rsidR="00F10850" w:rsidRPr="00386DF0" w:rsidRDefault="00F10850" w:rsidP="00F10850">
      <w:pPr>
        <w:pStyle w:val="2"/>
        <w:rPr>
          <w:lang w:eastAsia="ja-JP"/>
        </w:rPr>
      </w:pPr>
      <w:r>
        <w:rPr>
          <w:rFonts w:hint="eastAsia"/>
          <w:lang w:eastAsia="ja-JP"/>
        </w:rPr>
        <w:t>AEC</w:t>
      </w:r>
      <w:r>
        <w:rPr>
          <w:lang w:eastAsia="ja-JP"/>
        </w:rPr>
        <w:t xml:space="preserve"> (Arithmetic Entropy Coding)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6"/>
        <w:gridCol w:w="1269"/>
        <w:gridCol w:w="619"/>
        <w:gridCol w:w="3594"/>
        <w:gridCol w:w="2142"/>
        <w:gridCol w:w="1105"/>
      </w:tblGrid>
      <w:tr w:rsidR="00AD0BFB" w:rsidRPr="00720DCC" w:rsidTr="00AD0BFB">
        <w:trPr>
          <w:trHeight w:val="62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720DCC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AD0BFB" w:rsidRPr="00720DCC" w:rsidTr="00AD0BFB">
        <w:trPr>
          <w:trHeight w:val="62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US-003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Table 11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dict_lut0_idx is missing a decoding process.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Add decoding process.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D0BFB" w:rsidRPr="00720DCC" w:rsidTr="00AD0BFB">
        <w:trPr>
          <w:trHeight w:val="62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US-004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Table 25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Definition of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ctxTblD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[n] for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occupancy_byte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incomplete.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Add missing dependency upon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NeighbourPattern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AD0BFB" w:rsidRPr="00720DCC" w:rsidRDefault="00AD0BFB" w:rsidP="00AD0BFB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D0BFB" w:rsidRPr="00720DCC" w:rsidTr="00AD0BFB">
        <w:trPr>
          <w:trHeight w:val="62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US-065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9.5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text description of the dictionary syntax and semantics is in a different format to the rest of the specification.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Ensure a specification text is consistent.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D0BFB" w:rsidRPr="00720DCC" w:rsidTr="00AD0BFB">
        <w:trPr>
          <w:trHeight w:val="62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US-067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9.5.1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Remove context names.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Use the mechanism in 9.6 for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contextualisation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D0BFB" w:rsidRPr="00720DCC" w:rsidTr="00AD0BFB">
        <w:trPr>
          <w:trHeight w:val="62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US-068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9.5.1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limitedContextMode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should be derived from the syntax element name being decoded.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D0BFB" w:rsidRPr="00720DCC" w:rsidTr="00AD0BFB">
        <w:trPr>
          <w:trHeight w:val="62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US-069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9.5.1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Multiple instances of the dictionary coder state are required, with selection based upon syntax element and other </w:t>
            </w:r>
            <w:proofErr w:type="spellStart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contextualisation</w:t>
            </w:r>
            <w:proofErr w:type="spellEnd"/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factors.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D0BFB" w:rsidRPr="00720DCC" w:rsidTr="00AD0BFB">
        <w:trPr>
          <w:trHeight w:val="624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US-070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9.5.9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Remove empty clause.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AD0BFB" w:rsidRPr="00720DCC" w:rsidRDefault="00AD0BFB" w:rsidP="00CF06E2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0DCC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</w:tbl>
    <w:p w:rsidR="00F10850" w:rsidRDefault="00F10850" w:rsidP="00F10850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ja-JP"/>
        </w:rPr>
      </w:pPr>
    </w:p>
    <w:p w:rsidR="00720DCC" w:rsidRPr="00720DCC" w:rsidRDefault="00720DCC" w:rsidP="00720DCC">
      <w:pPr>
        <w:rPr>
          <w:rFonts w:eastAsiaTheme="minorEastAsia"/>
          <w:lang w:val="x-none" w:eastAsia="ja-JP"/>
        </w:rPr>
      </w:pPr>
    </w:p>
    <w:p w:rsidR="00720DCC" w:rsidRDefault="00720DCC" w:rsidP="00720DCC">
      <w:pPr>
        <w:pStyle w:val="2"/>
        <w:rPr>
          <w:lang w:eastAsia="ja-JP"/>
        </w:rPr>
      </w:pPr>
      <w:r>
        <w:rPr>
          <w:lang w:eastAsia="ja-JP"/>
        </w:rPr>
        <w:t>HLS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4"/>
        <w:gridCol w:w="1269"/>
        <w:gridCol w:w="619"/>
        <w:gridCol w:w="3497"/>
        <w:gridCol w:w="1960"/>
        <w:gridCol w:w="1416"/>
      </w:tblGrid>
      <w:tr w:rsidR="00A03ADA" w:rsidRPr="00827636" w:rsidTr="00A03ADA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MB/</w:t>
            </w: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Clause/</w:t>
            </w: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Subclause</w:t>
            </w:r>
          </w:p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Paragraph/</w:t>
            </w: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br/>
              <w:t>Figure/Table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BDBDBD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Proposed change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BDBDBD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DDoC</w:t>
            </w:r>
            <w:proofErr w:type="spellEnd"/>
            <w:r w:rsidRPr="00827636">
              <w:rPr>
                <w:rFonts w:ascii="Arial" w:eastAsia="游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 response</w:t>
            </w:r>
          </w:p>
        </w:tc>
      </w:tr>
      <w:tr w:rsidR="005E18A5" w:rsidRPr="00827636" w:rsidTr="00A03ADA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827636" w:rsidRDefault="005E18A5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US-057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827636" w:rsidRDefault="005E18A5" w:rsidP="005E18A5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20"/>
                <w:szCs w:val="20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827636" w:rsidRDefault="005E18A5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827636" w:rsidRDefault="005E18A5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The use of multiple slices to represent a frame is unclear.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5E18A5" w:rsidRPr="00827636" w:rsidRDefault="005E18A5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Provide further clarity on how multiple slices are used to represent a point cloud frame and their use in the reconstruction process.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5E18A5" w:rsidRPr="00827636" w:rsidRDefault="005E18A5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This has been addressed by the adoption of m51025</w:t>
            </w:r>
          </w:p>
        </w:tc>
      </w:tr>
      <w:tr w:rsidR="00A03ADA" w:rsidRPr="00827636" w:rsidTr="00A03ADA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US-063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8.4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RecPicPointCount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set but never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initialised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It should be set to 0 at the start of each frame.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03ADA" w:rsidRPr="00827636" w:rsidTr="00A03ADA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US-084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All,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7.3.4.4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Variable names do not follow conventions set out in 5.</w:t>
            </w:r>
            <w:proofErr w:type="gram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11.For</w:t>
            </w:r>
            <w:proofErr w:type="gram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example,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isZero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,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isOne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Review variable naming for consistency with conventions set out in 5.11.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, recommend </w:t>
            </w:r>
            <w:proofErr w:type="gram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to rename</w:t>
            </w:r>
            <w:proofErr w:type="gram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variables</w:t>
            </w:r>
          </w:p>
        </w:tc>
      </w:tr>
      <w:tr w:rsidR="00A03ADA" w:rsidRPr="00827636" w:rsidTr="00A03ADA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FR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-091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In semantics of _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cicp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_ syntax elements, values are undefined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Do the _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cicp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_ related syntax elements apply to any attribute types intended to be covered by G-PCC standard? (e.g. reflectance as provided in Table 5...)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Define _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cicp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_ syntax elements values or refer to an external specification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Clarify _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cicp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_ syntax elements attribute range; possibly under a flag presence condition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03ADA" w:rsidRPr="00827636" w:rsidTr="00A03ADA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US-005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20"/>
                <w:szCs w:val="20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Table 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Add column identifying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known_attribute_label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This has been addressed by the adoption of m51064</w:t>
            </w:r>
          </w:p>
        </w:tc>
      </w:tr>
      <w:tr w:rsidR="00A03ADA" w:rsidRPr="00827636" w:rsidTr="00A03ADA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US-040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attribute_instance_id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needs further explanation to describe the use of attributes with identical labels.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03ADA" w:rsidRPr="00827636" w:rsidTr="00A03ADA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US-043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sps_bounding_box_scale_factor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should indicate that this value is not used in the 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reconstruction process and merely indicates how the coded point cloud may have been scaled.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Refine specification text.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03ADA" w:rsidRPr="00827636" w:rsidTr="00A03ADA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US-062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8.3.1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Text implies that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attrCnt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is derived from the APS.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attrCnt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should be derived from the SPS.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Accept</w:t>
            </w:r>
          </w:p>
        </w:tc>
      </w:tr>
      <w:tr w:rsidR="00A03ADA" w:rsidRPr="00827636" w:rsidTr="00A03ADA">
        <w:trPr>
          <w:trHeight w:val="20"/>
        </w:trPr>
        <w:tc>
          <w:tcPr>
            <w:tcW w:w="0" w:type="auto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US-048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7.4.2.2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ed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Add general description of the tile inventory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- consider constraining the size of the syntax elements using ue(v).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jc w:val="center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Add description that conveys the relationship between tiles and </w:t>
            </w:r>
            <w:proofErr w:type="spellStart"/>
            <w:proofErr w:type="gram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slices.Note</w:t>
            </w:r>
            <w:proofErr w:type="spellEnd"/>
            <w:proofErr w:type="gram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 that the tile inventory does not form part of the decoding process.</w:t>
            </w:r>
          </w:p>
        </w:tc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3F3F3"/>
            <w:hideMark/>
          </w:tcPr>
          <w:p w:rsidR="00A03ADA" w:rsidRPr="00827636" w:rsidRDefault="00A03ADA" w:rsidP="00827636">
            <w:pPr>
              <w:widowControl/>
              <w:spacing w:after="0" w:line="240" w:lineRule="auto"/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</w:pP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 xml:space="preserve">Discussed in </w:t>
            </w:r>
            <w:proofErr w:type="spellStart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BoG</w:t>
            </w:r>
            <w:proofErr w:type="spellEnd"/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t>, a description of the tile inventory will be added</w:t>
            </w:r>
            <w:r w:rsidRPr="00827636">
              <w:rPr>
                <w:rFonts w:ascii="Arial" w:eastAsia="游ゴシック" w:hAnsi="Arial" w:cs="Arial"/>
                <w:color w:val="000000"/>
                <w:sz w:val="18"/>
                <w:szCs w:val="18"/>
                <w:lang w:eastAsia="ja-JP"/>
              </w:rPr>
              <w:br/>
              <w:t>The aspect relating to constraints is addressed by US-026</w:t>
            </w:r>
          </w:p>
        </w:tc>
      </w:tr>
    </w:tbl>
    <w:p w:rsidR="00D6323E" w:rsidRPr="00D6323E" w:rsidRDefault="00D6323E" w:rsidP="00CB6FF9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ja-JP"/>
        </w:rPr>
      </w:pPr>
    </w:p>
    <w:sectPr w:rsidR="00D6323E" w:rsidRPr="00D6323E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DEC" w:rsidRDefault="00077DEC" w:rsidP="00717E1B">
      <w:pPr>
        <w:spacing w:after="0" w:line="240" w:lineRule="auto"/>
      </w:pPr>
      <w:r>
        <w:separator/>
      </w:r>
    </w:p>
  </w:endnote>
  <w:endnote w:type="continuationSeparator" w:id="0">
    <w:p w:rsidR="00077DEC" w:rsidRDefault="00077DEC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DEC" w:rsidRDefault="00077DEC" w:rsidP="00717E1B">
      <w:pPr>
        <w:spacing w:after="0" w:line="240" w:lineRule="auto"/>
      </w:pPr>
      <w:r>
        <w:separator/>
      </w:r>
    </w:p>
  </w:footnote>
  <w:footnote w:type="continuationSeparator" w:id="0">
    <w:p w:rsidR="00077DEC" w:rsidRDefault="00077DEC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24"/>
  </w:num>
  <w:num w:numId="4">
    <w:abstractNumId w:val="9"/>
  </w:num>
  <w:num w:numId="5">
    <w:abstractNumId w:val="19"/>
  </w:num>
  <w:num w:numId="6">
    <w:abstractNumId w:val="30"/>
  </w:num>
  <w:num w:numId="7">
    <w:abstractNumId w:val="21"/>
  </w:num>
  <w:num w:numId="8">
    <w:abstractNumId w:val="4"/>
  </w:num>
  <w:num w:numId="9">
    <w:abstractNumId w:val="6"/>
  </w:num>
  <w:num w:numId="10">
    <w:abstractNumId w:val="13"/>
  </w:num>
  <w:num w:numId="11">
    <w:abstractNumId w:val="22"/>
  </w:num>
  <w:num w:numId="12">
    <w:abstractNumId w:val="15"/>
  </w:num>
  <w:num w:numId="13">
    <w:abstractNumId w:val="1"/>
  </w:num>
  <w:num w:numId="14">
    <w:abstractNumId w:val="11"/>
  </w:num>
  <w:num w:numId="15">
    <w:abstractNumId w:val="28"/>
  </w:num>
  <w:num w:numId="16">
    <w:abstractNumId w:val="14"/>
  </w:num>
  <w:num w:numId="17">
    <w:abstractNumId w:val="10"/>
  </w:num>
  <w:num w:numId="18">
    <w:abstractNumId w:val="7"/>
  </w:num>
  <w:num w:numId="19">
    <w:abstractNumId w:val="5"/>
  </w:num>
  <w:num w:numId="20">
    <w:abstractNumId w:val="12"/>
  </w:num>
  <w:num w:numId="21">
    <w:abstractNumId w:val="18"/>
  </w:num>
  <w:num w:numId="22">
    <w:abstractNumId w:val="25"/>
  </w:num>
  <w:num w:numId="23">
    <w:abstractNumId w:val="16"/>
  </w:num>
  <w:num w:numId="24">
    <w:abstractNumId w:val="23"/>
  </w:num>
  <w:num w:numId="25">
    <w:abstractNumId w:val="26"/>
  </w:num>
  <w:num w:numId="26">
    <w:abstractNumId w:val="2"/>
  </w:num>
  <w:num w:numId="27">
    <w:abstractNumId w:val="17"/>
  </w:num>
  <w:num w:numId="28">
    <w:abstractNumId w:val="27"/>
  </w:num>
  <w:num w:numId="29">
    <w:abstractNumId w:val="20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7A"/>
    <w:rsid w:val="00002217"/>
    <w:rsid w:val="0001512E"/>
    <w:rsid w:val="00020C69"/>
    <w:rsid w:val="0002499C"/>
    <w:rsid w:val="00030AD0"/>
    <w:rsid w:val="00032A0E"/>
    <w:rsid w:val="000360D3"/>
    <w:rsid w:val="00045D8C"/>
    <w:rsid w:val="000557C2"/>
    <w:rsid w:val="00057DA2"/>
    <w:rsid w:val="0006001F"/>
    <w:rsid w:val="00064720"/>
    <w:rsid w:val="000663EC"/>
    <w:rsid w:val="000778F8"/>
    <w:rsid w:val="00077DEC"/>
    <w:rsid w:val="00080DAC"/>
    <w:rsid w:val="00093F5A"/>
    <w:rsid w:val="00095C47"/>
    <w:rsid w:val="000C46DE"/>
    <w:rsid w:val="000C5808"/>
    <w:rsid w:val="000D41AE"/>
    <w:rsid w:val="000D58DC"/>
    <w:rsid w:val="000E6AA6"/>
    <w:rsid w:val="00101075"/>
    <w:rsid w:val="00104DD9"/>
    <w:rsid w:val="00124211"/>
    <w:rsid w:val="00125F4E"/>
    <w:rsid w:val="001302B6"/>
    <w:rsid w:val="0013302C"/>
    <w:rsid w:val="001347D5"/>
    <w:rsid w:val="00146509"/>
    <w:rsid w:val="00150931"/>
    <w:rsid w:val="001676B9"/>
    <w:rsid w:val="00171211"/>
    <w:rsid w:val="001740C7"/>
    <w:rsid w:val="0017476B"/>
    <w:rsid w:val="00184896"/>
    <w:rsid w:val="001920B7"/>
    <w:rsid w:val="001A13E2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62DE7"/>
    <w:rsid w:val="00272D6B"/>
    <w:rsid w:val="002739A4"/>
    <w:rsid w:val="002869A6"/>
    <w:rsid w:val="00286C15"/>
    <w:rsid w:val="0028710D"/>
    <w:rsid w:val="002A6BFB"/>
    <w:rsid w:val="002B2FD2"/>
    <w:rsid w:val="002C7F0F"/>
    <w:rsid w:val="002D380F"/>
    <w:rsid w:val="002D5BA5"/>
    <w:rsid w:val="002D7993"/>
    <w:rsid w:val="002E02B6"/>
    <w:rsid w:val="0030631B"/>
    <w:rsid w:val="00317A4B"/>
    <w:rsid w:val="0033190F"/>
    <w:rsid w:val="00335B75"/>
    <w:rsid w:val="003573DE"/>
    <w:rsid w:val="0036620D"/>
    <w:rsid w:val="0036721F"/>
    <w:rsid w:val="00373451"/>
    <w:rsid w:val="00385EA4"/>
    <w:rsid w:val="00386DF0"/>
    <w:rsid w:val="00391E9B"/>
    <w:rsid w:val="00396830"/>
    <w:rsid w:val="003976B4"/>
    <w:rsid w:val="003A2362"/>
    <w:rsid w:val="003A3207"/>
    <w:rsid w:val="003B15DE"/>
    <w:rsid w:val="003C0AEC"/>
    <w:rsid w:val="003C2BAB"/>
    <w:rsid w:val="003C7AB6"/>
    <w:rsid w:val="003E1E5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51EDE"/>
    <w:rsid w:val="00462D9A"/>
    <w:rsid w:val="0046310E"/>
    <w:rsid w:val="0046449E"/>
    <w:rsid w:val="00467971"/>
    <w:rsid w:val="0047210E"/>
    <w:rsid w:val="00494821"/>
    <w:rsid w:val="004A44EF"/>
    <w:rsid w:val="004A5585"/>
    <w:rsid w:val="004D2FF8"/>
    <w:rsid w:val="004E0C82"/>
    <w:rsid w:val="004E1E01"/>
    <w:rsid w:val="004E5FB5"/>
    <w:rsid w:val="004F0ACC"/>
    <w:rsid w:val="004F593C"/>
    <w:rsid w:val="005132BF"/>
    <w:rsid w:val="00516F9C"/>
    <w:rsid w:val="0052544E"/>
    <w:rsid w:val="0054391B"/>
    <w:rsid w:val="005565BE"/>
    <w:rsid w:val="00557EDB"/>
    <w:rsid w:val="00573821"/>
    <w:rsid w:val="00574298"/>
    <w:rsid w:val="005769BD"/>
    <w:rsid w:val="00585F50"/>
    <w:rsid w:val="005A05C0"/>
    <w:rsid w:val="005A1575"/>
    <w:rsid w:val="005A2449"/>
    <w:rsid w:val="005B0DB3"/>
    <w:rsid w:val="005B7CBC"/>
    <w:rsid w:val="005C42D8"/>
    <w:rsid w:val="005D1A6F"/>
    <w:rsid w:val="005D561E"/>
    <w:rsid w:val="005E1400"/>
    <w:rsid w:val="005E18A5"/>
    <w:rsid w:val="0060019F"/>
    <w:rsid w:val="006074A9"/>
    <w:rsid w:val="00625A92"/>
    <w:rsid w:val="006323E5"/>
    <w:rsid w:val="00632565"/>
    <w:rsid w:val="0063664B"/>
    <w:rsid w:val="00643BD9"/>
    <w:rsid w:val="00650C9A"/>
    <w:rsid w:val="006547F0"/>
    <w:rsid w:val="00660793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6F4F4B"/>
    <w:rsid w:val="00715DF2"/>
    <w:rsid w:val="00717E1B"/>
    <w:rsid w:val="00720DCC"/>
    <w:rsid w:val="007212F6"/>
    <w:rsid w:val="00727E5A"/>
    <w:rsid w:val="007320EA"/>
    <w:rsid w:val="0074220F"/>
    <w:rsid w:val="00770292"/>
    <w:rsid w:val="00775613"/>
    <w:rsid w:val="00793FB7"/>
    <w:rsid w:val="007B7543"/>
    <w:rsid w:val="007C2FE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23E26"/>
    <w:rsid w:val="00827636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264CB"/>
    <w:rsid w:val="00930EF2"/>
    <w:rsid w:val="009315F3"/>
    <w:rsid w:val="00937076"/>
    <w:rsid w:val="0094186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03ADA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7C60"/>
    <w:rsid w:val="00AA7246"/>
    <w:rsid w:val="00AB0A71"/>
    <w:rsid w:val="00AB2FC7"/>
    <w:rsid w:val="00AD0BFB"/>
    <w:rsid w:val="00AD3156"/>
    <w:rsid w:val="00AE175E"/>
    <w:rsid w:val="00AE5BF6"/>
    <w:rsid w:val="00AE7428"/>
    <w:rsid w:val="00B12E14"/>
    <w:rsid w:val="00B21FC6"/>
    <w:rsid w:val="00B22D13"/>
    <w:rsid w:val="00B45CC1"/>
    <w:rsid w:val="00B501F8"/>
    <w:rsid w:val="00B514B8"/>
    <w:rsid w:val="00B62CD2"/>
    <w:rsid w:val="00B72387"/>
    <w:rsid w:val="00BB53D3"/>
    <w:rsid w:val="00BD1631"/>
    <w:rsid w:val="00BD4E34"/>
    <w:rsid w:val="00BD5142"/>
    <w:rsid w:val="00C00A61"/>
    <w:rsid w:val="00C10A59"/>
    <w:rsid w:val="00C117CF"/>
    <w:rsid w:val="00C433F5"/>
    <w:rsid w:val="00C5063F"/>
    <w:rsid w:val="00C51DB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06E2"/>
    <w:rsid w:val="00CF312D"/>
    <w:rsid w:val="00CF3FD2"/>
    <w:rsid w:val="00D15E90"/>
    <w:rsid w:val="00D15EFB"/>
    <w:rsid w:val="00D20036"/>
    <w:rsid w:val="00D22C70"/>
    <w:rsid w:val="00D6054D"/>
    <w:rsid w:val="00D6323E"/>
    <w:rsid w:val="00D635B1"/>
    <w:rsid w:val="00D63663"/>
    <w:rsid w:val="00D654EF"/>
    <w:rsid w:val="00D664D3"/>
    <w:rsid w:val="00D66D9A"/>
    <w:rsid w:val="00D727A9"/>
    <w:rsid w:val="00D74322"/>
    <w:rsid w:val="00D7571F"/>
    <w:rsid w:val="00D94135"/>
    <w:rsid w:val="00DA0A51"/>
    <w:rsid w:val="00DB3208"/>
    <w:rsid w:val="00DC7747"/>
    <w:rsid w:val="00DD00EE"/>
    <w:rsid w:val="00DD3F76"/>
    <w:rsid w:val="00DE55A1"/>
    <w:rsid w:val="00DE663F"/>
    <w:rsid w:val="00E06288"/>
    <w:rsid w:val="00E07DA9"/>
    <w:rsid w:val="00E10CC8"/>
    <w:rsid w:val="00E22A40"/>
    <w:rsid w:val="00E4182D"/>
    <w:rsid w:val="00E41EDE"/>
    <w:rsid w:val="00E44084"/>
    <w:rsid w:val="00E547DE"/>
    <w:rsid w:val="00E6407A"/>
    <w:rsid w:val="00E80587"/>
    <w:rsid w:val="00E82434"/>
    <w:rsid w:val="00E90211"/>
    <w:rsid w:val="00E92D8D"/>
    <w:rsid w:val="00EA05B9"/>
    <w:rsid w:val="00EA083B"/>
    <w:rsid w:val="00EA5591"/>
    <w:rsid w:val="00EB3086"/>
    <w:rsid w:val="00EB4AFE"/>
    <w:rsid w:val="00EE7A50"/>
    <w:rsid w:val="00EF0CB1"/>
    <w:rsid w:val="00EF2BBA"/>
    <w:rsid w:val="00EF5675"/>
    <w:rsid w:val="00F00D66"/>
    <w:rsid w:val="00F017EB"/>
    <w:rsid w:val="00F06FB8"/>
    <w:rsid w:val="00F10850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2B32E0-80E1-46B1-835D-FD6F50CF9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basedOn w:val="a"/>
    <w:next w:val="a"/>
    <w:link w:val="30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basedOn w:val="a"/>
    <w:next w:val="a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basedOn w:val="a"/>
    <w:next w:val="a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0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link w:val="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link w:val="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22">
    <w:name w:val="Intense Quote"/>
    <w:basedOn w:val="a"/>
    <w:next w:val="a"/>
    <w:link w:val="23"/>
    <w:uiPriority w:val="30"/>
    <w:qFormat/>
    <w:rsid w:val="00F1085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3">
    <w:name w:val="引用文 2 (文字)"/>
    <w:basedOn w:val="a0"/>
    <w:link w:val="22"/>
    <w:uiPriority w:val="30"/>
    <w:rsid w:val="00F10850"/>
    <w:rPr>
      <w:rFonts w:ascii="Calibri" w:eastAsia="Calibri" w:hAnsi="Calibri"/>
      <w:i/>
      <w:iCs/>
      <w:color w:val="4472C4" w:themeColor="accent1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73DEE-F8FC-490E-8EB8-C123033DD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9</TotalTime>
  <Pages>12</Pages>
  <Words>3531</Words>
  <Characters>20127</Characters>
  <Application>Microsoft Office Word</Application>
  <DocSecurity>0</DocSecurity>
  <Lines>167</Lines>
  <Paragraphs>47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23611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Ohji Nakagami</dc:creator>
  <cp:keywords/>
  <cp:lastModifiedBy>Nakagami, Ohji (SONY)</cp:lastModifiedBy>
  <cp:revision>12</cp:revision>
  <dcterms:created xsi:type="dcterms:W3CDTF">2019-10-30T23:54:00Z</dcterms:created>
  <dcterms:modified xsi:type="dcterms:W3CDTF">2019-10-31T00:05:00Z</dcterms:modified>
</cp:coreProperties>
</file>