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B957D5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23777F"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675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B957D5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23777F"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675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>G-PCC C</w:t>
      </w:r>
      <w:r w:rsidR="002C1E6C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13.15 on </w:t>
      </w:r>
      <w:proofErr w:type="spellStart"/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>LoD</w:t>
      </w:r>
      <w:proofErr w:type="spellEnd"/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generation for spatial scalability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0E0A7B">
        <w:rPr>
          <w:rFonts w:ascii="Times New Roman" w:eastAsia="Times New Roman" w:hAnsi="Times New Roman"/>
          <w:b/>
          <w:bCs/>
          <w:w w:val="85"/>
          <w:sz w:val="24"/>
          <w:szCs w:val="24"/>
        </w:rPr>
        <w:t>Approved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9482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D337C0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7-26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381A">
        <w:rPr>
          <w:rFonts w:ascii="Times New Roman" w:eastAsia="Times New Roman" w:hAnsi="Times New Roman"/>
          <w:b/>
          <w:bCs/>
          <w:sz w:val="24"/>
          <w:szCs w:val="24"/>
        </w:rPr>
        <w:t>3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CB6FF9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C008DC" w:rsidRPr="00C008DC">
        <w:rPr>
          <w:rFonts w:ascii="Times New Roman" w:eastAsia="SimSun" w:hAnsi="Times New Roman"/>
          <w:b/>
          <w:sz w:val="48"/>
          <w:szCs w:val="24"/>
          <w:lang w:val="fr-FR" w:eastAsia="zh-CN"/>
        </w:rPr>
        <w:t>18</w:t>
      </w:r>
      <w:r w:rsidR="0023777F">
        <w:rPr>
          <w:rFonts w:ascii="Times New Roman" w:eastAsia="SimSun" w:hAnsi="Times New Roman"/>
          <w:b/>
          <w:sz w:val="48"/>
          <w:szCs w:val="24"/>
          <w:lang w:val="fr-FR" w:eastAsia="zh-CN"/>
        </w:rPr>
        <w:t>675</w:t>
      </w:r>
    </w:p>
    <w:p w:rsidR="00CB6FF9" w:rsidRPr="00CB6FF9" w:rsidRDefault="00C008DC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</w:t>
      </w:r>
      <w:r w:rsidR="009F6FBD">
        <w:rPr>
          <w:rFonts w:ascii="Times New Roman" w:eastAsia="SimSun" w:hAnsi="Times New Roman"/>
          <w:b/>
          <w:sz w:val="28"/>
          <w:szCs w:val="24"/>
          <w:lang w:val="fr-FR" w:eastAsia="zh-CN"/>
        </w:rPr>
        <w:t>othenburg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 w:rsidR="009F6FBD">
        <w:rPr>
          <w:rFonts w:ascii="Times New Roman" w:eastAsia="SimSun" w:hAnsi="Times New Roman"/>
          <w:b/>
          <w:sz w:val="28"/>
          <w:szCs w:val="24"/>
          <w:lang w:val="fr-FR" w:eastAsia="zh-CN"/>
        </w:rPr>
        <w:t>SE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 w:rsidR="009F6FBD">
        <w:rPr>
          <w:rFonts w:ascii="Times New Roman" w:eastAsia="SimSun" w:hAnsi="Times New Roman"/>
          <w:b/>
          <w:sz w:val="28"/>
          <w:szCs w:val="24"/>
          <w:lang w:val="fr-FR" w:eastAsia="zh-CN"/>
        </w:rPr>
        <w:t>July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CB6FF9" w:rsidTr="00D244F1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8359" w:type="dxa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D244F1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  <w:proofErr w:type="gramEnd"/>
          </w:p>
        </w:tc>
        <w:tc>
          <w:tcPr>
            <w:tcW w:w="8359" w:type="dxa"/>
            <w:shd w:val="clear" w:color="auto" w:fill="auto"/>
          </w:tcPr>
          <w:p w:rsidR="00CB6FF9" w:rsidRPr="00CB6FF9" w:rsidRDefault="002C1E6C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G-PCC C</w:t>
            </w: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E</w:t>
            </w:r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13.15 on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LoD</w:t>
            </w:r>
            <w:proofErr w:type="spellEnd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generation</w:t>
            </w:r>
            <w:proofErr w:type="spellEnd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for spatial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scalability</w:t>
            </w:r>
            <w:proofErr w:type="spellEnd"/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2C1E6C" w:rsidRPr="00232235" w:rsidRDefault="002C1E6C" w:rsidP="002C1E6C">
      <w:pPr>
        <w:pStyle w:val="1"/>
        <w:numPr>
          <w:ilvl w:val="0"/>
          <w:numId w:val="0"/>
        </w:numPr>
        <w:ind w:left="432" w:hanging="432"/>
        <w:rPr>
          <w:rFonts w:ascii="Times New Roman" w:hAnsi="Times New Roman"/>
          <w:lang w:val="en-CA"/>
        </w:rPr>
      </w:pPr>
      <w:r w:rsidRPr="00232235">
        <w:rPr>
          <w:rFonts w:ascii="Times New Roman" w:hAnsi="Times New Roman"/>
          <w:lang w:val="en-CA"/>
        </w:rPr>
        <w:t>Abstract</w:t>
      </w:r>
    </w:p>
    <w:p w:rsidR="002C1E6C" w:rsidRDefault="002C1E6C" w:rsidP="002C1E6C">
      <w:pPr>
        <w:rPr>
          <w:lang w:val="en-CA"/>
        </w:rPr>
      </w:pPr>
      <w:r w:rsidRPr="00822E74">
        <w:rPr>
          <w:lang w:val="en-CA"/>
        </w:rPr>
        <w:t xml:space="preserve">This document provides a description of Core Experiment </w:t>
      </w:r>
      <w:r w:rsidRPr="005F2C02">
        <w:rPr>
          <w:lang w:val="en-CA"/>
        </w:rPr>
        <w:t xml:space="preserve">13.15 on </w:t>
      </w:r>
      <w:proofErr w:type="spellStart"/>
      <w:r w:rsidRPr="005F2C02">
        <w:rPr>
          <w:lang w:val="en-CA"/>
        </w:rPr>
        <w:t>LoD</w:t>
      </w:r>
      <w:proofErr w:type="spellEnd"/>
      <w:r w:rsidRPr="005F2C02">
        <w:rPr>
          <w:lang w:val="en-CA"/>
        </w:rPr>
        <w:t xml:space="preserve"> generation for </w:t>
      </w:r>
      <w:r>
        <w:rPr>
          <w:lang w:val="en-CA"/>
        </w:rPr>
        <w:t>s</w:t>
      </w:r>
      <w:r w:rsidRPr="005F2C02">
        <w:rPr>
          <w:lang w:val="en-CA"/>
        </w:rPr>
        <w:t>patial scalability</w:t>
      </w:r>
      <w:r>
        <w:rPr>
          <w:lang w:val="en-CA"/>
        </w:rPr>
        <w:t>.</w:t>
      </w:r>
    </w:p>
    <w:p w:rsidR="002C1E6C" w:rsidRDefault="002C1E6C" w:rsidP="002C1E6C">
      <w:pPr>
        <w:rPr>
          <w:lang w:val="en-CA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t>Introduction</w:t>
      </w:r>
    </w:p>
    <w:p w:rsidR="002C1E6C" w:rsidRDefault="002C1E6C" w:rsidP="002C1E6C">
      <w:pPr>
        <w:rPr>
          <w:lang w:val="en-CA"/>
        </w:rPr>
      </w:pPr>
      <w:r w:rsidRPr="005F2C02">
        <w:rPr>
          <w:lang w:val="en-CA"/>
        </w:rPr>
        <w:t>The goal of C</w:t>
      </w:r>
      <w:r>
        <w:rPr>
          <w:lang w:val="en-CA"/>
        </w:rPr>
        <w:t xml:space="preserve">ore </w:t>
      </w:r>
      <w:r w:rsidRPr="005F2C02">
        <w:rPr>
          <w:lang w:val="en-CA"/>
        </w:rPr>
        <w:t>E</w:t>
      </w:r>
      <w:r>
        <w:rPr>
          <w:lang w:val="en-CA"/>
        </w:rPr>
        <w:t>xperiment</w:t>
      </w:r>
      <w:r w:rsidRPr="005F2C02">
        <w:rPr>
          <w:lang w:val="en-CA"/>
        </w:rPr>
        <w:t xml:space="preserve"> 13.15 is to evaluate the </w:t>
      </w:r>
      <w:r>
        <w:rPr>
          <w:lang w:val="en-CA"/>
        </w:rPr>
        <w:t>L</w:t>
      </w:r>
      <w:r w:rsidRPr="005F2C02">
        <w:rPr>
          <w:lang w:val="en-CA"/>
        </w:rPr>
        <w:t xml:space="preserve">evel of </w:t>
      </w:r>
      <w:r>
        <w:rPr>
          <w:lang w:val="en-CA"/>
        </w:rPr>
        <w:t>D</w:t>
      </w:r>
      <w:r w:rsidRPr="005F2C02">
        <w:rPr>
          <w:lang w:val="en-CA"/>
        </w:rPr>
        <w:t xml:space="preserve">etails generation method for </w:t>
      </w:r>
      <w:r>
        <w:rPr>
          <w:lang w:val="en-CA"/>
        </w:rPr>
        <w:t xml:space="preserve">the </w:t>
      </w:r>
      <w:r w:rsidRPr="005F2C02">
        <w:rPr>
          <w:lang w:val="en-CA"/>
        </w:rPr>
        <w:t xml:space="preserve">lifting </w:t>
      </w:r>
      <w:r>
        <w:rPr>
          <w:lang w:val="en-CA"/>
        </w:rPr>
        <w:t>scheme for the spatial scalability</w:t>
      </w:r>
      <w:r w:rsidRPr="005F2C02">
        <w:rPr>
          <w:lang w:val="en-CA"/>
        </w:rPr>
        <w:t>.</w:t>
      </w:r>
    </w:p>
    <w:p w:rsidR="002C1E6C" w:rsidRDefault="002C1E6C" w:rsidP="002C1E6C">
      <w:pPr>
        <w:rPr>
          <w:lang w:val="en-CA"/>
        </w:rPr>
      </w:pPr>
      <w:r w:rsidRPr="005F2C02">
        <w:rPr>
          <w:lang w:val="en-CA"/>
        </w:rPr>
        <w:t>The performance of the technique [</w:t>
      </w:r>
      <w:r w:rsidR="002C32B6">
        <w:rPr>
          <w:lang w:val="en-CA"/>
        </w:rPr>
        <w:t>3</w:t>
      </w:r>
      <w:r w:rsidRPr="005F2C02">
        <w:rPr>
          <w:lang w:val="en-CA"/>
        </w:rPr>
        <w:t>] is evaluated in the scope of the CE 13.15, in terms of RD performance and computational complexity</w:t>
      </w:r>
      <w:r>
        <w:rPr>
          <w:lang w:val="en-CA"/>
        </w:rPr>
        <w:t>.</w:t>
      </w:r>
    </w:p>
    <w:p w:rsidR="002C1E6C" w:rsidRPr="00E873BE" w:rsidRDefault="002C1E6C" w:rsidP="002C1E6C">
      <w:pPr>
        <w:rPr>
          <w:lang w:val="en-CA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:rsidR="002C1E6C" w:rsidRPr="00683CBF" w:rsidRDefault="002C1E6C" w:rsidP="002C1E6C">
      <w:r w:rsidRPr="00683CBF">
        <w:t>The mandates for CE are as follows:</w:t>
      </w:r>
    </w:p>
    <w:p w:rsidR="002C1E6C" w:rsidRPr="00683CBF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683CBF">
        <w:t xml:space="preserve">To study </w:t>
      </w:r>
      <w:r>
        <w:t xml:space="preserve">the </w:t>
      </w:r>
      <w:r w:rsidRPr="00683CBF">
        <w:t xml:space="preserve">coding </w:t>
      </w:r>
      <w:r>
        <w:t>performance</w:t>
      </w:r>
      <w:r w:rsidR="00234F73">
        <w:t xml:space="preserve"> </w:t>
      </w:r>
      <w:r w:rsidRPr="00683CBF">
        <w:t xml:space="preserve">compared </w:t>
      </w:r>
      <w:r w:rsidR="00234F73">
        <w:t>with</w:t>
      </w:r>
      <w:r w:rsidRPr="00683CBF">
        <w:t xml:space="preserve"> the </w:t>
      </w:r>
      <w:r>
        <w:t xml:space="preserve">anchor </w:t>
      </w:r>
      <w:r w:rsidR="006055AC">
        <w:t xml:space="preserve">scalable lifting </w:t>
      </w:r>
      <w:r>
        <w:t xml:space="preserve">algorithm </w:t>
      </w:r>
    </w:p>
    <w:p w:rsidR="002C1E6C" w:rsidRPr="00683CBF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683CBF">
        <w:t xml:space="preserve">To study </w:t>
      </w:r>
      <w:r>
        <w:t xml:space="preserve">the </w:t>
      </w:r>
      <w:r w:rsidRPr="00683CBF">
        <w:t xml:space="preserve">complexity </w:t>
      </w:r>
      <w:r>
        <w:t xml:space="preserve">(e.g. decoding time) </w:t>
      </w:r>
      <w:r w:rsidRPr="00683CBF">
        <w:t xml:space="preserve">of the proposed </w:t>
      </w:r>
      <w:r>
        <w:t>method for the spatial scalability</w:t>
      </w:r>
    </w:p>
    <w:p w:rsidR="002C1E6C" w:rsidRPr="00683CBF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683CBF">
        <w:rPr>
          <w:rFonts w:hint="eastAsia"/>
        </w:rPr>
        <w:t>T</w:t>
      </w:r>
      <w:r w:rsidRPr="00683CBF">
        <w:t xml:space="preserve">o </w:t>
      </w:r>
      <w:r>
        <w:t>evaluate</w:t>
      </w:r>
      <w:r w:rsidRPr="00683CBF">
        <w:t xml:space="preserve"> the visual quality for the lower resolution point cloud</w:t>
      </w:r>
      <w:r>
        <w:t xml:space="preserve"> with the common rendering software</w:t>
      </w:r>
    </w:p>
    <w:p w:rsidR="002C1E6C" w:rsidRPr="00DD6CA9" w:rsidRDefault="002C1E6C" w:rsidP="002C1E6C">
      <w:pPr>
        <w:rPr>
          <w:rFonts w:eastAsia="Malgun Gothic"/>
          <w:highlight w:val="yellow"/>
          <w:lang w:val="pt-BR" w:eastAsia="ko-KR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2C1E6C" w:rsidRPr="00822E74" w:rsidTr="009C7D3B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6E03C7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2C1E6C" w:rsidRPr="00822E74" w:rsidTr="00FC4116">
        <w:trPr>
          <w:trHeight w:val="58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822E74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Sony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5F2C02" w:rsidRDefault="002C1E6C" w:rsidP="002C1E6C">
            <w:pPr>
              <w:jc w:val="center"/>
              <w:rPr>
                <w:rFonts w:eastAsiaTheme="minorEastAsia"/>
                <w:lang w:eastAsia="ja-JP"/>
              </w:rPr>
            </w:pPr>
            <w:proofErr w:type="spellStart"/>
            <w:r>
              <w:rPr>
                <w:rFonts w:eastAsia="Times New Roman"/>
                <w:lang w:eastAsia="zh-CN"/>
              </w:rPr>
              <w:t>Ohji</w:t>
            </w:r>
            <w:proofErr w:type="spellEnd"/>
            <w:r>
              <w:rPr>
                <w:rFonts w:eastAsia="Times New Roman"/>
                <w:lang w:eastAsia="zh-CN"/>
              </w:rPr>
              <w:t xml:space="preserve"> Nakagami</w:t>
            </w:r>
            <w:r>
              <w:rPr>
                <w:rFonts w:eastAsia="Times New Roman"/>
                <w:lang w:eastAsia="zh-CN"/>
              </w:rPr>
              <w:br/>
            </w:r>
            <w:proofErr w:type="spellStart"/>
            <w:r>
              <w:rPr>
                <w:rFonts w:eastAsiaTheme="minorEastAsia" w:hint="eastAsia"/>
                <w:lang w:eastAsia="ja-JP"/>
              </w:rPr>
              <w:t>S</w:t>
            </w:r>
            <w:r>
              <w:rPr>
                <w:rFonts w:eastAsiaTheme="minorEastAsia"/>
                <w:lang w:eastAsia="ja-JP"/>
              </w:rPr>
              <w:t>atrou</w:t>
            </w:r>
            <w:proofErr w:type="spellEnd"/>
            <w:r>
              <w:rPr>
                <w:rFonts w:eastAsiaTheme="minorEastAsia"/>
                <w:lang w:eastAsia="ja-JP"/>
              </w:rPr>
              <w:t xml:space="preserve"> Kuma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5F2C02" w:rsidRDefault="002C1E6C" w:rsidP="002C1E6C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C1E6C">
              <w:rPr>
                <w:rFonts w:eastAsia="Times New Roman"/>
                <w:lang w:eastAsia="zh-CN"/>
              </w:rPr>
              <w:t>ohji.nakagami@sony.com</w:t>
            </w:r>
            <w:r>
              <w:rPr>
                <w:rFonts w:eastAsia="Times New Roman"/>
                <w:lang w:eastAsia="zh-CN"/>
              </w:rPr>
              <w:br/>
            </w:r>
            <w:r w:rsidRPr="005F2C02">
              <w:rPr>
                <w:rFonts w:eastAsiaTheme="minorEastAsia" w:hint="eastAsia"/>
                <w:lang w:eastAsia="ja-JP"/>
              </w:rPr>
              <w:t>s</w:t>
            </w:r>
            <w:r w:rsidRPr="005F2C02">
              <w:rPr>
                <w:rFonts w:eastAsiaTheme="minorEastAsia"/>
                <w:lang w:eastAsia="ja-JP"/>
              </w:rPr>
              <w:t>atoru.kuma@sony.com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P</w:t>
            </w:r>
          </w:p>
        </w:tc>
      </w:tr>
      <w:tr w:rsidR="002C1E6C" w:rsidRPr="00822E74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66BEA" w:rsidRDefault="002C1E6C" w:rsidP="009C7D3B">
            <w:pPr>
              <w:keepNext/>
              <w:keepLines/>
              <w:jc w:val="center"/>
              <w:rPr>
                <w:rFonts w:eastAsia="Times New Roman"/>
                <w:highlight w:val="cya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="SimSu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kmammou@apple.com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C</w:t>
            </w:r>
          </w:p>
        </w:tc>
      </w:tr>
      <w:tr w:rsidR="002C1E6C" w:rsidRPr="00822E74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5F2C02" w:rsidRDefault="002C1E6C" w:rsidP="009C7D3B">
            <w:pPr>
              <w:jc w:val="center"/>
              <w:rPr>
                <w:rFonts w:eastAsiaTheme="minorEastAsia"/>
                <w:lang w:eastAsia="ja-JP"/>
              </w:rPr>
            </w:pPr>
            <w:proofErr w:type="spellStart"/>
            <w:r w:rsidRPr="005F2C02">
              <w:rPr>
                <w:rFonts w:eastAsiaTheme="minorEastAsia"/>
                <w:lang w:eastAsia="ja-JP"/>
              </w:rPr>
              <w:t>Hanyang</w:t>
            </w:r>
            <w:proofErr w:type="spellEnd"/>
            <w:r w:rsidRPr="005F2C02">
              <w:rPr>
                <w:rFonts w:eastAsiaTheme="minorEastAsia"/>
                <w:lang w:eastAsia="ja-JP"/>
              </w:rPr>
              <w:t xml:space="preserve"> University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23777F" w:rsidRDefault="002C1E6C" w:rsidP="009C7D3B">
            <w:pPr>
              <w:keepNext/>
              <w:keepLines/>
              <w:jc w:val="center"/>
            </w:pPr>
            <w:proofErr w:type="spellStart"/>
            <w:r w:rsidRPr="0023777F">
              <w:t>Euee</w:t>
            </w:r>
            <w:proofErr w:type="spellEnd"/>
            <w:r w:rsidRPr="0023777F">
              <w:t xml:space="preserve"> S. Jang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2C1E6C">
            <w:pPr>
              <w:keepNext/>
              <w:keepLines/>
              <w:jc w:val="center"/>
              <w:rPr>
                <w:rFonts w:eastAsia="SimSu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esjang@hanyang.ac.kr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Theme="minorEastAsia" w:hint="eastAsia"/>
                <w:lang w:eastAsia="ja-JP"/>
              </w:rPr>
              <w:t>C</w:t>
            </w:r>
          </w:p>
        </w:tc>
      </w:tr>
      <w:tr w:rsidR="002C1E6C" w:rsidRPr="00822E74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5F2C02" w:rsidRDefault="002C1E6C" w:rsidP="009C7D3B">
            <w:pPr>
              <w:jc w:val="center"/>
              <w:rPr>
                <w:rFonts w:eastAsiaTheme="minorEastAsia"/>
                <w:lang w:eastAsia="ja-JP"/>
              </w:rPr>
            </w:pPr>
            <w:r w:rsidRPr="00F9498C">
              <w:rPr>
                <w:rFonts w:eastAsiaTheme="minorEastAsia"/>
                <w:lang w:eastAsia="ja-JP"/>
              </w:rPr>
              <w:lastRenderedPageBreak/>
              <w:t>LG Electronics Inc.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77F" w:rsidRPr="00AE05B1" w:rsidRDefault="00AE05B1" w:rsidP="00AE05B1">
            <w:pPr>
              <w:jc w:val="center"/>
              <w:rPr>
                <w:rFonts w:eastAsia="DengXian"/>
                <w:lang w:eastAsia="zh-CN"/>
              </w:rPr>
            </w:pPr>
            <w:proofErr w:type="spellStart"/>
            <w:r w:rsidRPr="0023777F">
              <w:rPr>
                <w:rFonts w:eastAsia="Times New Roman" w:hint="eastAsia"/>
                <w:lang w:eastAsia="zh-CN"/>
              </w:rPr>
              <w:t>S</w:t>
            </w:r>
            <w:r w:rsidRPr="0023777F">
              <w:rPr>
                <w:rFonts w:eastAsia="Times New Roman"/>
                <w:lang w:eastAsia="zh-CN"/>
              </w:rPr>
              <w:t>ejin</w:t>
            </w:r>
            <w:proofErr w:type="spellEnd"/>
            <w:r w:rsidRPr="0023777F">
              <w:rPr>
                <w:rFonts w:eastAsia="Times New Roman"/>
                <w:lang w:eastAsia="zh-CN"/>
              </w:rPr>
              <w:t xml:space="preserve"> Oh</w:t>
            </w:r>
            <w:r w:rsidR="00160D82">
              <w:rPr>
                <w:rFonts w:eastAsia="Times New Roman"/>
                <w:lang w:eastAsia="zh-CN"/>
              </w:rPr>
              <w:br/>
            </w:r>
            <w:proofErr w:type="spellStart"/>
            <w:r w:rsidRPr="0023777F">
              <w:rPr>
                <w:rFonts w:eastAsia="Times New Roman"/>
                <w:lang w:eastAsia="zh-CN"/>
              </w:rPr>
              <w:t>Hyejung</w:t>
            </w:r>
            <w:proofErr w:type="spellEnd"/>
            <w:r w:rsidRPr="0023777F">
              <w:rPr>
                <w:rFonts w:eastAsia="Times New Roman"/>
                <w:lang w:eastAsia="zh-CN"/>
              </w:rPr>
              <w:t xml:space="preserve"> </w:t>
            </w:r>
            <w:proofErr w:type="spellStart"/>
            <w:r w:rsidRPr="0023777F">
              <w:rPr>
                <w:rFonts w:eastAsia="Times New Roman"/>
                <w:lang w:eastAsia="zh-CN"/>
              </w:rPr>
              <w:t>Hur</w:t>
            </w:r>
            <w:proofErr w:type="spellEnd"/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7F" w:rsidRPr="00AE05B1" w:rsidRDefault="00AE05B1" w:rsidP="00AE05B1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Theme="minorEastAsia"/>
                <w:lang w:eastAsia="ja-JP"/>
              </w:rPr>
              <w:t>sjin.oh@lge.com</w:t>
            </w:r>
            <w:r>
              <w:rPr>
                <w:rFonts w:eastAsia="Times New Roman"/>
                <w:lang w:eastAsia="zh-CN"/>
              </w:rPr>
              <w:br/>
            </w:r>
            <w:r w:rsidRPr="0023777F">
              <w:rPr>
                <w:rFonts w:eastAsiaTheme="minorEastAsia"/>
                <w:lang w:eastAsia="ja-JP"/>
              </w:rPr>
              <w:t>hj.hur@lge.com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166BEA" w:rsidRDefault="002C1E6C" w:rsidP="009C7D3B">
            <w:pPr>
              <w:keepNext/>
              <w:keepLines/>
              <w:jc w:val="center"/>
              <w:rPr>
                <w:rFonts w:eastAsiaTheme="minorEastAsia"/>
                <w:highlight w:val="cyan"/>
                <w:lang w:eastAsia="ja-JP"/>
              </w:rPr>
            </w:pPr>
            <w:r w:rsidRPr="0023777F">
              <w:rPr>
                <w:rFonts w:eastAsiaTheme="minorEastAsia" w:hint="eastAsia"/>
                <w:lang w:eastAsia="ja-JP"/>
              </w:rPr>
              <w:t>C</w:t>
            </w:r>
          </w:p>
        </w:tc>
      </w:tr>
      <w:tr w:rsidR="002C1E6C" w:rsidRPr="00822E74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Theme="minorEastAsia" w:hint="eastAsia"/>
                <w:lang w:eastAsia="ja-JP"/>
              </w:rPr>
              <w:t>P</w:t>
            </w:r>
            <w:r>
              <w:rPr>
                <w:rFonts w:eastAsiaTheme="minorEastAsia"/>
                <w:lang w:eastAsia="ja-JP"/>
              </w:rPr>
              <w:t>anasonic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proofErr w:type="spellStart"/>
            <w:r w:rsidRPr="0023777F">
              <w:rPr>
                <w:rFonts w:eastAsiaTheme="minorEastAsia" w:hint="eastAsia"/>
                <w:lang w:eastAsia="ja-JP"/>
              </w:rPr>
              <w:t>T</w:t>
            </w:r>
            <w:r w:rsidRPr="0023777F">
              <w:rPr>
                <w:rFonts w:eastAsiaTheme="minorEastAsia"/>
                <w:lang w:eastAsia="ja-JP"/>
              </w:rPr>
              <w:t>oshiyasu</w:t>
            </w:r>
            <w:proofErr w:type="spellEnd"/>
            <w:r w:rsidRPr="0023777F">
              <w:rPr>
                <w:rFonts w:eastAsiaTheme="minorEastAsia"/>
                <w:lang w:eastAsia="ja-JP"/>
              </w:rPr>
              <w:t xml:space="preserve"> </w:t>
            </w:r>
            <w:proofErr w:type="spellStart"/>
            <w:r w:rsidRPr="0023777F">
              <w:rPr>
                <w:rFonts w:eastAsiaTheme="minorEastAsia"/>
                <w:lang w:eastAsia="ja-JP"/>
              </w:rPr>
              <w:t>Sugio</w:t>
            </w:r>
            <w:proofErr w:type="spellEnd"/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sugio.toshiyasu@jp.panasonic.com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Theme="minorEastAsia" w:hint="eastAsia"/>
                <w:lang w:eastAsia="ja-JP"/>
              </w:rPr>
              <w:t>C</w:t>
            </w:r>
          </w:p>
        </w:tc>
      </w:tr>
    </w:tbl>
    <w:p w:rsidR="002C1E6C" w:rsidRDefault="002C1E6C" w:rsidP="002C1E6C">
      <w:pPr>
        <w:jc w:val="center"/>
        <w:rPr>
          <w:lang w:val="pt-BR"/>
        </w:rPr>
      </w:pPr>
      <w:r w:rsidRPr="00822E74">
        <w:rPr>
          <w:lang w:val="pt-BR"/>
        </w:rPr>
        <w:t>(P=proponent, C=crosss checker)</w:t>
      </w:r>
    </w:p>
    <w:p w:rsidR="002C1E6C" w:rsidRPr="00CD7658" w:rsidRDefault="002C1E6C" w:rsidP="002C1E6C">
      <w:pPr>
        <w:rPr>
          <w:rFonts w:eastAsia="Times New Roman"/>
          <w:szCs w:val="20"/>
          <w:lang w:val="pt-BR"/>
        </w:rPr>
      </w:pPr>
    </w:p>
    <w:p w:rsidR="002C1E6C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>
        <w:t>Methods to be evaluated</w:t>
      </w:r>
    </w:p>
    <w:p w:rsidR="002C1E6C" w:rsidRDefault="00C61F73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eastAsia="ja-JP"/>
        </w:rPr>
      </w:pPr>
      <w:bookmarkStart w:id="0" w:name="_Ref4581686"/>
      <w:r>
        <w:rPr>
          <w:lang w:eastAsia="ja-JP"/>
        </w:rPr>
        <w:t>m</w:t>
      </w:r>
      <w:r w:rsidRPr="00C61F73">
        <w:rPr>
          <w:lang w:eastAsia="ja-JP"/>
        </w:rPr>
        <w:t>49044</w:t>
      </w:r>
      <w:r w:rsidR="002C1E6C">
        <w:rPr>
          <w:lang w:eastAsia="ja-JP"/>
        </w:rPr>
        <w:t xml:space="preserve"> </w:t>
      </w:r>
      <w:r w:rsidRPr="00C61F73">
        <w:rPr>
          <w:lang w:eastAsia="ja-JP"/>
        </w:rPr>
        <w:t>[G-PCC] CE13.15 Related on improved spatial scalable lifting</w:t>
      </w:r>
      <w:bookmarkEnd w:id="0"/>
    </w:p>
    <w:p w:rsidR="004A5B21" w:rsidRDefault="004A5B21" w:rsidP="004A5B21">
      <w:pPr>
        <w:rPr>
          <w:lang w:eastAsia="ja-JP"/>
        </w:rPr>
      </w:pPr>
      <w:r>
        <w:rPr>
          <w:lang w:eastAsia="ja-JP"/>
        </w:rPr>
        <w:t>The propos</w:t>
      </w:r>
      <w:r w:rsidR="003255C0">
        <w:rPr>
          <w:lang w:eastAsia="ja-JP"/>
        </w:rPr>
        <w:t>ed</w:t>
      </w:r>
      <w:r>
        <w:rPr>
          <w:lang w:eastAsia="ja-JP"/>
        </w:rPr>
        <w:t xml:space="preserve"> method modifies</w:t>
      </w:r>
      <w:r w:rsidR="003255C0" w:rsidRPr="003255C0">
        <w:t xml:space="preserve"> </w:t>
      </w:r>
      <w:r w:rsidR="003255C0">
        <w:t xml:space="preserve">the </w:t>
      </w:r>
      <w:proofErr w:type="spellStart"/>
      <w:r w:rsidR="003255C0" w:rsidRPr="003255C0">
        <w:rPr>
          <w:lang w:eastAsia="ja-JP"/>
        </w:rPr>
        <w:t>LoD</w:t>
      </w:r>
      <w:proofErr w:type="spellEnd"/>
      <w:r w:rsidR="003255C0" w:rsidRPr="003255C0">
        <w:rPr>
          <w:lang w:eastAsia="ja-JP"/>
        </w:rPr>
        <w:t xml:space="preserve"> generation</w:t>
      </w:r>
      <w:r w:rsidR="003255C0">
        <w:rPr>
          <w:lang w:eastAsia="ja-JP"/>
        </w:rPr>
        <w:t xml:space="preserve"> for the</w:t>
      </w:r>
      <w:r>
        <w:rPr>
          <w:lang w:eastAsia="ja-JP"/>
        </w:rPr>
        <w:t xml:space="preserve"> lifting reference </w:t>
      </w:r>
      <w:r w:rsidR="003255C0">
        <w:rPr>
          <w:lang w:eastAsia="ja-JP"/>
        </w:rPr>
        <w:t>structure</w:t>
      </w:r>
      <w:r>
        <w:rPr>
          <w:lang w:eastAsia="ja-JP"/>
        </w:rPr>
        <w:t>.</w:t>
      </w:r>
    </w:p>
    <w:p w:rsidR="004A5B21" w:rsidRDefault="00714782" w:rsidP="002F5B51">
      <w:pPr>
        <w:pStyle w:val="2"/>
        <w:widowControl/>
        <w:numPr>
          <w:ilvl w:val="2"/>
          <w:numId w:val="30"/>
        </w:numPr>
        <w:spacing w:line="240" w:lineRule="auto"/>
        <w:jc w:val="both"/>
        <w:rPr>
          <w:lang w:eastAsia="ja-JP"/>
        </w:rPr>
      </w:pPr>
      <w:r w:rsidRPr="002F5B51">
        <w:rPr>
          <w:lang w:eastAsia="ja-JP"/>
        </w:rPr>
        <w:t>Lifting reference modification</w:t>
      </w:r>
    </w:p>
    <w:p w:rsidR="00A73951" w:rsidRPr="00D14F5A" w:rsidRDefault="00D14F5A" w:rsidP="00B23FB9">
      <w:pPr>
        <w:rPr>
          <w:rFonts w:eastAsiaTheme="minorEastAsia"/>
          <w:lang w:eastAsia="ja-JP"/>
        </w:rPr>
      </w:pPr>
      <w:r w:rsidRPr="00D14F5A">
        <w:rPr>
          <w:rFonts w:eastAsiaTheme="minorEastAsia"/>
          <w:lang w:eastAsia="ja-JP"/>
        </w:rPr>
        <w:t xml:space="preserve">To improve the coding efficiency, in the scalable lifting, the </w:t>
      </w:r>
      <w:r w:rsidR="00734562">
        <w:rPr>
          <w:rFonts w:eastAsiaTheme="minorEastAsia"/>
          <w:lang w:eastAsia="ja-JP"/>
        </w:rPr>
        <w:t xml:space="preserve">anchor </w:t>
      </w:r>
      <w:proofErr w:type="spellStart"/>
      <w:r w:rsidR="00E4493F">
        <w:rPr>
          <w:rFonts w:eastAsiaTheme="minorEastAsia"/>
          <w:lang w:eastAsia="ja-JP"/>
        </w:rPr>
        <w:t>LoD</w:t>
      </w:r>
      <w:proofErr w:type="spellEnd"/>
      <w:r w:rsidR="00E4493F">
        <w:rPr>
          <w:rFonts w:eastAsiaTheme="minorEastAsia"/>
          <w:lang w:eastAsia="ja-JP"/>
        </w:rPr>
        <w:t xml:space="preserve"> generation is</w:t>
      </w:r>
      <w:r w:rsidRPr="00D14F5A">
        <w:rPr>
          <w:rFonts w:eastAsiaTheme="minorEastAsia"/>
          <w:lang w:eastAsia="ja-JP"/>
        </w:rPr>
        <w:t xml:space="preserve"> modified. The proposal method handles the bottom </w:t>
      </w:r>
      <w:proofErr w:type="spellStart"/>
      <w:r w:rsidRPr="00D14F5A">
        <w:rPr>
          <w:rFonts w:eastAsiaTheme="minorEastAsia"/>
          <w:lang w:eastAsia="ja-JP"/>
        </w:rPr>
        <w:t>LoDs</w:t>
      </w:r>
      <w:proofErr w:type="spellEnd"/>
      <w:r w:rsidRPr="00D14F5A">
        <w:rPr>
          <w:rFonts w:eastAsiaTheme="minorEastAsia"/>
          <w:lang w:eastAsia="ja-JP"/>
        </w:rPr>
        <w:t xml:space="preserve"> as a same group. Figure 1 right shows an example of the proposal. By the proposed modification, the Lod12 and the Lod11 is handled as the same </w:t>
      </w:r>
      <w:proofErr w:type="spellStart"/>
      <w:r w:rsidRPr="00D14F5A">
        <w:rPr>
          <w:rFonts w:eastAsiaTheme="minorEastAsia"/>
          <w:lang w:eastAsia="ja-JP"/>
        </w:rPr>
        <w:t>LoD</w:t>
      </w:r>
      <w:proofErr w:type="spellEnd"/>
      <w:r w:rsidRPr="00D14F5A">
        <w:rPr>
          <w:rFonts w:eastAsiaTheme="minorEastAsia"/>
          <w:lang w:eastAsia="ja-JP"/>
        </w:rPr>
        <w:t xml:space="preserve"> (i.e. the reference structure and the weight values are same).</w:t>
      </w:r>
    </w:p>
    <w:p w:rsidR="002F5B51" w:rsidRDefault="001409AC" w:rsidP="004A5B21">
      <w:pPr>
        <w:rPr>
          <w:rFonts w:eastAsiaTheme="minorEastAsia"/>
          <w:lang w:eastAsia="ja-JP"/>
        </w:rPr>
      </w:pPr>
      <w:r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3969962</wp:posOffset>
                </wp:positionH>
                <wp:positionV relativeFrom="paragraph">
                  <wp:posOffset>1331017</wp:posOffset>
                </wp:positionV>
                <wp:extent cx="1045441" cy="69273"/>
                <wp:effectExtent l="0" t="57150" r="21590" b="2603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5441" cy="692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F43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312.6pt;margin-top:104.8pt;width:82.3pt;height:5.4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iMHgIAAFoEAAAOAAAAZHJzL2Uyb0RvYy54bWysVMuu0zAQ3SPxD5b3NGkpF4ia3kVL2SCo&#10;eO1dx04s+SXbNO22rO8PwAKJHwAJJJZ8TIX6G4ydNDwlBCKLkceec2bmeJzZ5U5JtGXOC6NLPB7l&#10;GDFNTSV0XeJnT1c37mDkA9EVkUazEu+Zx5fz69dmrS3YxDRGVswhING+aG2JmxBskWWeNkwRPzKW&#10;aTjkxikSwHV1VjnSAruS2STPL7LWuMo6Q5n3sLvsDvE88XPOaHjEuWcByRJDbSFZl+wm2mw+I0Xt&#10;iG0E7csg/1CFIkJD0oFqSQJBL5z4hUoJ6ow3PIyoUZnhXFCWeoBuxvlP3TxpiGWpFxDH20Em//9o&#10;6cPt2iFRlXiKkSYKruj0+uPp06vTm7dfrt4fDx+OL6+Oh3fHw2c0jWq11hcAWui16z1v1y62vuNO&#10;IS6FfQ6DkMSA9tAuab0ftGa7gChsjvPprel0jBGFs4u7k9s3I3vW0UQ663y4z4xCcVFiHxwRdRMW&#10;Rmu4VeO6FGT7wIcOeAZEsNTReiNFtRJSJsfVm4V0aEtgFFarHL4+4w9hkWVJfNPFVbCKUaQIRMh7&#10;ukJhb0Gj4ATRtWQ9Q0yXRWU6LdIq7CXrSnnMOCgce06qpNlmQymEUqbDeGCC6AjjUPYAzP8M7OMj&#10;lKW5/xvwgEiZjQ4DWAlt3O+yh925ZN7FnxXo+o4SbEy1T1OSpIEBTvfbP7b4Qr73E/zbL2H+FQAA&#10;//8DAFBLAwQUAAYACAAAACEAe0BJ9d4AAAALAQAADwAAAGRycy9kb3ducmV2LnhtbEyPwU7DMAyG&#10;70i8Q2QkLoglRFq2laYTIE3ckNrBPWtCW5E4VZN15e0xJzja/vX5+8v9Ejyb3ZSGiBoeVgKYwzba&#10;ATsN78fD/RZYygat8RGdhm+XYF9dX5WmsPGCtZub3DGCYCqMhj7nseA8tb0LJq3i6JBun3EKJtM4&#10;ddxO5kLw4LkUQvFgBqQPvRndS+/ar+YciHJEdbfUb89B1eGjfm347A9c69ub5ekRWHZL/gvDrz6p&#10;Q0VOp3hGm5jXoORaUlSDFDsFjBKb7Y7KnGgjxRp4VfL/HaofAAAA//8DAFBLAQItABQABgAIAAAA&#10;IQC2gziS/gAAAOEBAAATAAAAAAAAAAAAAAAAAAAAAABbQ29udGVudF9UeXBlc10ueG1sUEsBAi0A&#10;FAAGAAgAAAAhADj9If/WAAAAlAEAAAsAAAAAAAAAAAAAAAAALwEAAF9yZWxzLy5yZWxzUEsBAi0A&#10;FAAGAAgAAAAhAJ8O2IweAgAAWgQAAA4AAAAAAAAAAAAAAAAALgIAAGRycy9lMm9Eb2MueG1sUEsB&#10;Ai0AFAAGAAgAAAAhAHtASfXeAAAACwEAAA8AAAAAAAAAAAAAAAAAeAQAAGRycy9kb3ducmV2Lnht&#10;bFBLBQYAAAAABAAEAPMAAACDBQAAAAA=&#10;" strokecolor="red" strokeweight=".5pt">
                <v:stroke dashstyle="dash" endarrow="block" joinstyle="miter"/>
              </v:shape>
            </w:pict>
          </mc:Fallback>
        </mc:AlternateContent>
      </w:r>
      <w:r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5015461</wp:posOffset>
                </wp:positionH>
                <wp:positionV relativeFrom="paragraph">
                  <wp:posOffset>1235190</wp:posOffset>
                </wp:positionV>
                <wp:extent cx="408709" cy="89535"/>
                <wp:effectExtent l="0" t="0" r="10795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709" cy="89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D2F20" id="正方形/長方形 2" o:spid="_x0000_s1026" style="position:absolute;left:0;text-align:left;margin-left:394.9pt;margin-top:97.25pt;width:32.2pt;height: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8VVmwIAAGYFAAAOAAAAZHJzL2Uyb0RvYy54bWysVM1uEzEQviPxDpbvdDchpe2qGxS1CkKq&#10;2ooW9ex47WSF7TG2k014D3gAOHNGHHgcKvEWjL2bbSg5IfbgnfHMfPPjmTl9udaKrITzNZiSDg5y&#10;SoThUNVmXtK3t9Nnx5T4wEzFFBhR0o3w9OX46ZPTxhZiCAtQlXAEQYwvGlvSRQi2yDLPF0IzfwBW&#10;GBRKcJoFZN08qxxrEF2rbJjnL7IGXGUdcOE93p63QjpO+FIKHq6k9CIQVVKMLaTTpXMWz2x8yoq5&#10;Y3ZR8y4M9g9RaFYbdNpDnbPAyNLVf0HpmjvwIMMBB52BlDUXKQfMZpA/yuZmwaxIuWBxvO3L5P8f&#10;LL9cXTtSVyUdUmKYxie6//rl/tP3nz8+Z78+fmspMoyFaqwvUP/GXruO80jGrNfS6fjHfMg6FXfT&#10;F1esA+F4OcqPj/ITSjiKjk8Onx9GyOzB1jofXgnQJBIldfh0qaJsdeFDq7pVia4MTGul8J4VysTT&#10;g6qreJcYN5+dKUdWDN99Os3x69ztqKHzaJrFvNpMEhU2SrSwb4TE0mDswxRJakrRwzLOhQmpMgkJ&#10;taOZxBB6w8E+QxUGXTCdbjQTqVl7w3yf4Z8ee4vkFUzojXVtwO0DqN71nlv9bfZtzjH9GVQb7AgH&#10;7ah4y6c1PsgF8+GaOZwNnCKc93CFh1TQlBQ6ipIFuA/77qM+tixKKWlw1krq3y+ZE5So1wab+WQw&#10;GsXhTMzo8GiIjNuVzHYlZqnPAJ91gJvF8kRG/aC2pHSg73AtTKJXFDHD0XdJeXBb5iy0OwAXCxeT&#10;SVLDgbQsXJgbyyN4rGpsuNv1HXO268qA3XwJ27lkxaPmbHWjpYHJMoCsU+c+1LWrNw5z6v1u8cRt&#10;scsnrYf1OP4NAAD//wMAUEsDBBQABgAIAAAAIQD/c6OP3wAAAAsBAAAPAAAAZHJzL2Rvd25yZXYu&#10;eG1sTI/NTsMwEITvSLyDtUjcqNOoP2mIUyFETxyAUomrGy9JVHsd2U4b3p7lRI+jmZ35ttpOzooz&#10;hth7UjCfZSCQGm96ahUcPncPBYiYNBltPaGCH4ywrW9vKl0af6EPPO9TK7iEYqkVdCkNpZSx6dDp&#10;OPMDEnvfPjidWIZWmqAvXO6szLNsJZ3uiRc6PeBzh81pPzrGGOz7YMa30+FrPu3Ci3mNul0rdX83&#10;PT2CSDil/zD84fMN1Mx09COZKKyCdbFh9MTGZrEEwYliuchBHBXkWbECWVfy+of6FwAA//8DAFBL&#10;AQItABQABgAIAAAAIQC2gziS/gAAAOEBAAATAAAAAAAAAAAAAAAAAAAAAABbQ29udGVudF9UeXBl&#10;c10ueG1sUEsBAi0AFAAGAAgAAAAhADj9If/WAAAAlAEAAAsAAAAAAAAAAAAAAAAALwEAAF9yZWxz&#10;Ly5yZWxzUEsBAi0AFAAGAAgAAAAhADZbxVWbAgAAZgUAAA4AAAAAAAAAAAAAAAAALgIAAGRycy9l&#10;Mm9Eb2MueG1sUEsBAi0AFAAGAAgAAAAhAP9zo4/fAAAACwEAAA8AAAAAAAAAAAAAAAAA9QQAAGRy&#10;cy9kb3ducmV2LnhtbFBLBQYAAAAABAAEAPMAAAABBgAAAAA=&#10;" filled="f" strokecolor="red" strokeweight="1pt"/>
            </w:pict>
          </mc:Fallback>
        </mc:AlternateContent>
      </w:r>
      <w:r w:rsidR="00BF6ED6">
        <w:rPr>
          <w:noProof/>
          <w:lang w:val="en-CA"/>
        </w:rPr>
        <w:drawing>
          <wp:inline distT="0" distB="0" distL="0" distR="0" wp14:anchorId="62A65315" wp14:editId="21CE4890">
            <wp:extent cx="5940425" cy="1459966"/>
            <wp:effectExtent l="0" t="0" r="3175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D6" w:rsidRPr="004A5B21" w:rsidRDefault="00BF6ED6" w:rsidP="00BF6ED6">
      <w:pPr>
        <w:pStyle w:val="afb"/>
        <w:spacing w:after="0"/>
        <w:jc w:val="center"/>
        <w:rPr>
          <w:b/>
          <w:bCs/>
          <w:i w:val="0"/>
          <w:iCs w:val="0"/>
          <w:color w:val="auto"/>
          <w:sz w:val="21"/>
          <w:szCs w:val="21"/>
        </w:rPr>
      </w:pPr>
      <w:bookmarkStart w:id="1" w:name="_Ref12890291"/>
      <w:r w:rsidRPr="004A5B21">
        <w:rPr>
          <w:b/>
          <w:bCs/>
          <w:i w:val="0"/>
          <w:iCs w:val="0"/>
          <w:color w:val="auto"/>
          <w:sz w:val="21"/>
          <w:szCs w:val="21"/>
        </w:rPr>
        <w:t xml:space="preserve">Figure 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fldChar w:fldCharType="begin"/>
      </w:r>
      <w:r w:rsidRPr="004A5B21">
        <w:rPr>
          <w:b/>
          <w:bCs/>
          <w:i w:val="0"/>
          <w:iCs w:val="0"/>
          <w:color w:val="auto"/>
          <w:sz w:val="21"/>
          <w:szCs w:val="21"/>
        </w:rPr>
        <w:instrText xml:space="preserve"> SEQ Figure \* ARABIC </w:instrText>
      </w:r>
      <w:r w:rsidRPr="004A5B21">
        <w:rPr>
          <w:b/>
          <w:bCs/>
          <w:i w:val="0"/>
          <w:iCs w:val="0"/>
          <w:color w:val="auto"/>
          <w:sz w:val="21"/>
          <w:szCs w:val="21"/>
        </w:rPr>
        <w:fldChar w:fldCharType="separate"/>
      </w:r>
      <w:r w:rsidRPr="004A5B21">
        <w:rPr>
          <w:b/>
          <w:bCs/>
          <w:i w:val="0"/>
          <w:iCs w:val="0"/>
          <w:color w:val="auto"/>
          <w:sz w:val="21"/>
          <w:szCs w:val="21"/>
        </w:rPr>
        <w:t>1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fldChar w:fldCharType="end"/>
      </w:r>
      <w:bookmarkEnd w:id="1"/>
      <w:r w:rsidRPr="004A5B21">
        <w:rPr>
          <w:b/>
          <w:bCs/>
          <w:i w:val="0"/>
          <w:iCs w:val="0"/>
          <w:color w:val="auto"/>
          <w:sz w:val="21"/>
          <w:szCs w:val="21"/>
        </w:rPr>
        <w:t xml:space="preserve"> the number of attribute node in </w:t>
      </w:r>
      <w:proofErr w:type="spellStart"/>
      <w:r>
        <w:rPr>
          <w:b/>
          <w:bCs/>
          <w:i w:val="0"/>
          <w:iCs w:val="0"/>
          <w:color w:val="auto"/>
          <w:sz w:val="21"/>
          <w:szCs w:val="21"/>
        </w:rPr>
        <w:t>L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t>o</w:t>
      </w:r>
      <w:r>
        <w:rPr>
          <w:b/>
          <w:bCs/>
          <w:i w:val="0"/>
          <w:iCs w:val="0"/>
          <w:color w:val="auto"/>
          <w:sz w:val="21"/>
          <w:szCs w:val="21"/>
        </w:rPr>
        <w:t>D</w:t>
      </w:r>
      <w:proofErr w:type="spellEnd"/>
    </w:p>
    <w:p w:rsidR="00BF6ED6" w:rsidRDefault="00BF6ED6" w:rsidP="00C4069E">
      <w:pPr>
        <w:pStyle w:val="afb"/>
        <w:spacing w:after="0"/>
        <w:jc w:val="center"/>
        <w:rPr>
          <w:b/>
          <w:bCs/>
          <w:i w:val="0"/>
          <w:iCs w:val="0"/>
          <w:color w:val="auto"/>
          <w:sz w:val="21"/>
          <w:szCs w:val="21"/>
        </w:rPr>
      </w:pPr>
      <w:r w:rsidRPr="004A5B21">
        <w:rPr>
          <w:b/>
          <w:bCs/>
          <w:i w:val="0"/>
          <w:iCs w:val="0"/>
          <w:color w:val="auto"/>
          <w:sz w:val="21"/>
          <w:szCs w:val="21"/>
        </w:rPr>
        <w:t xml:space="preserve"> (Left</w:t>
      </w:r>
      <w:r w:rsidR="001409AC">
        <w:rPr>
          <w:b/>
          <w:bCs/>
          <w:i w:val="0"/>
          <w:iCs w:val="0"/>
          <w:color w:val="auto"/>
          <w:sz w:val="21"/>
          <w:szCs w:val="21"/>
        </w:rPr>
        <w:t>: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t xml:space="preserve"> </w:t>
      </w:r>
      <w:r>
        <w:rPr>
          <w:b/>
          <w:bCs/>
          <w:i w:val="0"/>
          <w:iCs w:val="0"/>
          <w:color w:val="auto"/>
          <w:sz w:val="21"/>
          <w:szCs w:val="21"/>
        </w:rPr>
        <w:t>Lifting</w:t>
      </w:r>
      <w:r w:rsidR="001409AC">
        <w:rPr>
          <w:b/>
          <w:bCs/>
          <w:i w:val="0"/>
          <w:iCs w:val="0"/>
          <w:color w:val="auto"/>
          <w:sz w:val="21"/>
          <w:szCs w:val="21"/>
        </w:rPr>
        <w:t xml:space="preserve"> </w:t>
      </w:r>
      <w:proofErr w:type="spellStart"/>
      <w:r w:rsidR="001409AC">
        <w:rPr>
          <w:b/>
          <w:bCs/>
          <w:i w:val="0"/>
          <w:iCs w:val="0"/>
          <w:color w:val="auto"/>
          <w:sz w:val="21"/>
          <w:szCs w:val="21"/>
        </w:rPr>
        <w:t>LoD</w:t>
      </w:r>
      <w:proofErr w:type="spellEnd"/>
      <w:r w:rsidR="001409AC">
        <w:rPr>
          <w:b/>
          <w:bCs/>
          <w:i w:val="0"/>
          <w:iCs w:val="0"/>
          <w:color w:val="auto"/>
          <w:sz w:val="21"/>
          <w:szCs w:val="21"/>
        </w:rPr>
        <w:t xml:space="preserve"> w/o Spatial scalability,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t xml:space="preserve"> </w:t>
      </w:r>
      <w:proofErr w:type="gramStart"/>
      <w:r w:rsidRPr="004A5B21">
        <w:rPr>
          <w:b/>
          <w:bCs/>
          <w:i w:val="0"/>
          <w:iCs w:val="0"/>
          <w:color w:val="auto"/>
          <w:sz w:val="21"/>
          <w:szCs w:val="21"/>
        </w:rPr>
        <w:t>Right</w:t>
      </w:r>
      <w:proofErr w:type="gramEnd"/>
      <w:r w:rsidR="001409AC">
        <w:rPr>
          <w:b/>
          <w:bCs/>
          <w:i w:val="0"/>
          <w:iCs w:val="0"/>
          <w:color w:val="auto"/>
          <w:sz w:val="21"/>
          <w:szCs w:val="21"/>
        </w:rPr>
        <w:t xml:space="preserve">: the anchor Lifting </w:t>
      </w:r>
      <w:proofErr w:type="spellStart"/>
      <w:r w:rsidR="001409AC">
        <w:rPr>
          <w:b/>
          <w:bCs/>
          <w:i w:val="0"/>
          <w:iCs w:val="0"/>
          <w:color w:val="auto"/>
          <w:sz w:val="21"/>
          <w:szCs w:val="21"/>
        </w:rPr>
        <w:t>LoD</w:t>
      </w:r>
      <w:proofErr w:type="spellEnd"/>
      <w:r w:rsidR="001409AC">
        <w:rPr>
          <w:b/>
          <w:bCs/>
          <w:i w:val="0"/>
          <w:iCs w:val="0"/>
          <w:color w:val="auto"/>
          <w:sz w:val="21"/>
          <w:szCs w:val="21"/>
        </w:rPr>
        <w:t xml:space="preserve"> with S</w:t>
      </w:r>
      <w:r>
        <w:rPr>
          <w:b/>
          <w:bCs/>
          <w:i w:val="0"/>
          <w:iCs w:val="0"/>
          <w:color w:val="auto"/>
          <w:sz w:val="21"/>
          <w:szCs w:val="21"/>
        </w:rPr>
        <w:t>patial scalab</w:t>
      </w:r>
      <w:r w:rsidR="001409AC">
        <w:rPr>
          <w:b/>
          <w:bCs/>
          <w:i w:val="0"/>
          <w:iCs w:val="0"/>
          <w:color w:val="auto"/>
          <w:sz w:val="21"/>
          <w:szCs w:val="21"/>
        </w:rPr>
        <w:t>ility</w:t>
      </w:r>
      <w:r w:rsidRPr="004A5B21">
        <w:rPr>
          <w:b/>
          <w:bCs/>
          <w:i w:val="0"/>
          <w:iCs w:val="0"/>
          <w:color w:val="auto"/>
          <w:sz w:val="21"/>
          <w:szCs w:val="21"/>
        </w:rPr>
        <w:t>)</w:t>
      </w:r>
    </w:p>
    <w:p w:rsidR="00933C9F" w:rsidRPr="00933C9F" w:rsidRDefault="00933C9F" w:rsidP="00BF6ED6">
      <w:pPr>
        <w:rPr>
          <w:rFonts w:eastAsiaTheme="minorEastAsia"/>
          <w:lang w:eastAsia="ja-JP"/>
        </w:rPr>
      </w:pPr>
    </w:p>
    <w:p w:rsidR="002C1E6C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valuation method</w:t>
      </w:r>
    </w:p>
    <w:p w:rsidR="002C1E6C" w:rsidRPr="00415E90" w:rsidRDefault="002C1E6C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bookmarkStart w:id="2" w:name="_Ref4581800"/>
      <w:r>
        <w:rPr>
          <w:rFonts w:eastAsiaTheme="minorEastAsia"/>
          <w:lang w:eastAsia="ja-JP"/>
        </w:rPr>
        <w:t>Test condition</w:t>
      </w:r>
      <w:bookmarkEnd w:id="2"/>
    </w:p>
    <w:p w:rsidR="002C1E6C" w:rsidRDefault="002C1E6C" w:rsidP="002C1E6C">
      <w:pPr>
        <w:rPr>
          <w:lang w:eastAsia="ja-JP"/>
        </w:rPr>
      </w:pPr>
      <w:r>
        <w:rPr>
          <w:rFonts w:hint="eastAsia"/>
          <w:lang w:eastAsia="ja-JP"/>
        </w:rPr>
        <w:t>F</w:t>
      </w:r>
      <w:r>
        <w:rPr>
          <w:lang w:eastAsia="ja-JP"/>
        </w:rPr>
        <w:t xml:space="preserve">ollowing conditions will be studied under </w:t>
      </w:r>
      <w:proofErr w:type="gramStart"/>
      <w:r>
        <w:rPr>
          <w:lang w:eastAsia="ja-JP"/>
        </w:rPr>
        <w:t>CTC</w:t>
      </w:r>
      <w:r w:rsidR="00BC680C">
        <w:rPr>
          <w:lang w:eastAsia="ja-JP"/>
        </w:rPr>
        <w:t>[</w:t>
      </w:r>
      <w:proofErr w:type="gramEnd"/>
      <w:r w:rsidR="00671346">
        <w:rPr>
          <w:lang w:eastAsia="ja-JP"/>
        </w:rPr>
        <w:t>2</w:t>
      </w:r>
      <w:r w:rsidR="00BC680C">
        <w:rPr>
          <w:lang w:eastAsia="ja-JP"/>
        </w:rPr>
        <w:t>]</w:t>
      </w:r>
      <w:r>
        <w:rPr>
          <w:lang w:eastAsia="ja-JP"/>
        </w:rPr>
        <w:t>.</w:t>
      </w:r>
    </w:p>
    <w:p w:rsidR="00A73951" w:rsidRPr="00A73951" w:rsidRDefault="00A73951" w:rsidP="002C1E6C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 w:hint="eastAsia"/>
          <w:lang w:eastAsia="ja-JP"/>
        </w:rPr>
        <w:t>C</w:t>
      </w:r>
      <w:r>
        <w:rPr>
          <w:rFonts w:eastAsiaTheme="minorEastAsia"/>
          <w:lang w:eastAsia="ja-JP"/>
        </w:rPr>
        <w:t>TC anchor (w/o Spatial scalability)</w:t>
      </w:r>
    </w:p>
    <w:p w:rsidR="002C1E6C" w:rsidRPr="00415E90" w:rsidRDefault="00A73951" w:rsidP="002C1E6C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>a</w:t>
      </w:r>
      <w:r w:rsidR="002C1E6C">
        <w:rPr>
          <w:rFonts w:eastAsiaTheme="minorEastAsia"/>
          <w:lang w:eastAsia="ja-JP"/>
        </w:rPr>
        <w:t xml:space="preserve">nchor </w:t>
      </w:r>
      <w:r w:rsidR="00DE2AE1">
        <w:rPr>
          <w:rFonts w:eastAsiaTheme="minorEastAsia"/>
          <w:lang w:eastAsia="ja-JP"/>
        </w:rPr>
        <w:t>spatial scalability coding</w:t>
      </w:r>
      <w:r>
        <w:rPr>
          <w:rFonts w:eastAsiaTheme="minorEastAsia"/>
          <w:lang w:eastAsia="ja-JP"/>
        </w:rPr>
        <w:t xml:space="preserve"> (in TMC13 release-v7.0</w:t>
      </w:r>
      <w:r w:rsidR="00006E8A">
        <w:rPr>
          <w:rFonts w:eastAsiaTheme="minorEastAsia"/>
          <w:lang w:eastAsia="ja-JP"/>
        </w:rPr>
        <w:t>[1]</w:t>
      </w:r>
      <w:r>
        <w:rPr>
          <w:rFonts w:eastAsiaTheme="minorEastAsia"/>
          <w:lang w:eastAsia="ja-JP"/>
        </w:rPr>
        <w:t>)</w:t>
      </w:r>
    </w:p>
    <w:p w:rsidR="002C1E6C" w:rsidRPr="00415E90" w:rsidRDefault="002C1E6C" w:rsidP="002C1E6C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 w:hint="eastAsia"/>
          <w:lang w:eastAsia="ja-JP"/>
        </w:rPr>
        <w:t>s</w:t>
      </w:r>
      <w:r>
        <w:rPr>
          <w:rFonts w:eastAsiaTheme="minorEastAsia"/>
          <w:lang w:eastAsia="ja-JP"/>
        </w:rPr>
        <w:t xml:space="preserve">patial scalability coding described in Section </w:t>
      </w:r>
      <w:r>
        <w:rPr>
          <w:rFonts w:eastAsiaTheme="minorEastAsia"/>
          <w:lang w:eastAsia="ja-JP"/>
        </w:rPr>
        <w:fldChar w:fldCharType="begin"/>
      </w:r>
      <w:r>
        <w:rPr>
          <w:rFonts w:eastAsiaTheme="minorEastAsia"/>
          <w:lang w:eastAsia="ja-JP"/>
        </w:rPr>
        <w:instrText xml:space="preserve"> REF _Ref4581686 \n \h </w:instrText>
      </w:r>
      <w:r>
        <w:rPr>
          <w:rFonts w:eastAsiaTheme="minorEastAsia"/>
          <w:lang w:eastAsia="ja-JP"/>
        </w:rPr>
      </w:r>
      <w:r>
        <w:rPr>
          <w:rFonts w:eastAsiaTheme="minorEastAsia"/>
          <w:lang w:eastAsia="ja-JP"/>
        </w:rPr>
        <w:fldChar w:fldCharType="separate"/>
      </w:r>
      <w:r>
        <w:rPr>
          <w:rFonts w:eastAsiaTheme="minorEastAsia"/>
          <w:lang w:eastAsia="ja-JP"/>
        </w:rPr>
        <w:t>4.1</w:t>
      </w:r>
      <w:r>
        <w:rPr>
          <w:rFonts w:eastAsiaTheme="minorEastAsia"/>
          <w:lang w:eastAsia="ja-JP"/>
        </w:rPr>
        <w:fldChar w:fldCharType="end"/>
      </w:r>
    </w:p>
    <w:p w:rsidR="002C1E6C" w:rsidRDefault="002C1E6C" w:rsidP="002C1E6C">
      <w:pPr>
        <w:rPr>
          <w:lang w:eastAsia="ja-JP"/>
        </w:rPr>
      </w:pPr>
    </w:p>
    <w:p w:rsidR="002C1E6C" w:rsidRDefault="002C1E6C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eastAsia="ja-JP"/>
        </w:rPr>
      </w:pPr>
      <w:r>
        <w:rPr>
          <w:rFonts w:eastAsiaTheme="minorEastAsia"/>
          <w:lang w:eastAsia="ja-JP"/>
        </w:rPr>
        <w:t xml:space="preserve">performance </w:t>
      </w: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valuation</w:t>
      </w:r>
    </w:p>
    <w:p w:rsidR="00A73951" w:rsidRDefault="002C1E6C" w:rsidP="002C1E6C">
      <w:pPr>
        <w:rPr>
          <w:rFonts w:eastAsiaTheme="minorEastAsia"/>
          <w:lang w:eastAsia="ja-JP"/>
        </w:rPr>
      </w:pPr>
      <w:r>
        <w:rPr>
          <w:lang w:eastAsia="ja-JP"/>
        </w:rPr>
        <w:t>For the full resolution point cloud,</w:t>
      </w:r>
      <w:r w:rsidRPr="00415E90">
        <w:rPr>
          <w:lang w:eastAsia="ja-JP"/>
        </w:rPr>
        <w:t xml:space="preserve"> BDRate</w:t>
      </w:r>
      <w:r>
        <w:rPr>
          <w:lang w:eastAsia="ja-JP"/>
        </w:rPr>
        <w:t xml:space="preserve"> in the CTC spreadsheet is evaluated.</w:t>
      </w:r>
      <w:r w:rsidR="00A73951">
        <w:rPr>
          <w:rFonts w:eastAsiaTheme="minorEastAsia" w:hint="eastAsia"/>
          <w:lang w:eastAsia="ja-JP"/>
        </w:rPr>
        <w:t xml:space="preserve"> </w:t>
      </w:r>
    </w:p>
    <w:p w:rsidR="002C1E6C" w:rsidRPr="00A73951" w:rsidRDefault="002C1E6C" w:rsidP="002C1E6C">
      <w:pPr>
        <w:rPr>
          <w:rFonts w:eastAsiaTheme="minorEastAsia"/>
          <w:lang w:eastAsia="ja-JP"/>
        </w:rPr>
      </w:pPr>
      <w:r>
        <w:rPr>
          <w:rFonts w:hint="eastAsia"/>
          <w:lang w:eastAsia="ja-JP"/>
        </w:rPr>
        <w:t>F</w:t>
      </w:r>
      <w:r>
        <w:rPr>
          <w:lang w:eastAsia="ja-JP"/>
        </w:rPr>
        <w:t xml:space="preserve">or the lower resolution point cloud, </w:t>
      </w:r>
      <w:r w:rsidR="001F5263">
        <w:rPr>
          <w:lang w:eastAsia="ja-JP"/>
        </w:rPr>
        <w:t>t</w:t>
      </w:r>
      <w:r>
        <w:rPr>
          <w:lang w:eastAsia="ja-JP"/>
        </w:rPr>
        <w:t xml:space="preserve">he visual quality </w:t>
      </w:r>
      <w:r w:rsidR="001F5263">
        <w:rPr>
          <w:lang w:eastAsia="ja-JP"/>
        </w:rPr>
        <w:t xml:space="preserve">of the decoded </w:t>
      </w:r>
      <w:r w:rsidR="001F5263">
        <w:rPr>
          <w:rFonts w:hint="eastAsia"/>
          <w:lang w:eastAsia="ja-JP"/>
        </w:rPr>
        <w:t>l</w:t>
      </w:r>
      <w:r w:rsidR="001F5263">
        <w:rPr>
          <w:lang w:eastAsia="ja-JP"/>
        </w:rPr>
        <w:t xml:space="preserve">ower resolution point cloud </w:t>
      </w:r>
      <w:r>
        <w:rPr>
          <w:lang w:eastAsia="ja-JP"/>
        </w:rPr>
        <w:t>is evaluated.</w:t>
      </w:r>
    </w:p>
    <w:p w:rsidR="002C1E6C" w:rsidRPr="00C138D8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C138D8">
        <w:lastRenderedPageBreak/>
        <w:t>Timeline</w:t>
      </w:r>
    </w:p>
    <w:p w:rsidR="002C1E6C" w:rsidRPr="00900E13" w:rsidRDefault="002C1E6C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784CC6">
        <w:t>2019-</w:t>
      </w:r>
      <w:r w:rsidR="000D6CFB" w:rsidRPr="00784CC6">
        <w:t>08-12</w:t>
      </w:r>
      <w:r w:rsidR="009D50A4">
        <w:t xml:space="preserve">: </w:t>
      </w:r>
      <w:r w:rsidRPr="00900E13">
        <w:t xml:space="preserve">Expected date for release of cross-verified </w:t>
      </w:r>
      <w:r w:rsidR="00310E84" w:rsidRPr="00310E84">
        <w:t>TMC13v7</w:t>
      </w:r>
      <w:r w:rsidRPr="00900E13">
        <w:t xml:space="preserve"> software and anchors</w:t>
      </w:r>
    </w:p>
    <w:p w:rsidR="002C1E6C" w:rsidRPr="00900E13" w:rsidRDefault="00310E84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310E84">
        <w:t>2019-09-</w:t>
      </w:r>
      <w:r w:rsidR="0085720B">
        <w:t>18</w:t>
      </w:r>
      <w:r w:rsidR="00842F2B">
        <w:t>:</w:t>
      </w:r>
      <w:r w:rsidRPr="00310E84">
        <w:t xml:space="preserve"> </w:t>
      </w:r>
      <w:r w:rsidR="002C1E6C" w:rsidRPr="00900E13">
        <w:t>CE Software and results are released to cross-checkers</w:t>
      </w:r>
    </w:p>
    <w:p w:rsidR="00900E13" w:rsidRPr="00900E13" w:rsidRDefault="00310E84" w:rsidP="00577D5A">
      <w:pPr>
        <w:pStyle w:val="af4"/>
        <w:widowControl/>
        <w:numPr>
          <w:ilvl w:val="0"/>
          <w:numId w:val="37"/>
        </w:numPr>
        <w:spacing w:after="0" w:line="240" w:lineRule="auto"/>
        <w:rPr>
          <w:lang w:val="en-GB" w:eastAsia="ja-JP"/>
        </w:rPr>
      </w:pPr>
      <w:r w:rsidRPr="00310E84">
        <w:t>2019-09-</w:t>
      </w:r>
      <w:r w:rsidR="0085720B">
        <w:t>25</w:t>
      </w:r>
      <w:r w:rsidR="00842F2B">
        <w:t>:</w:t>
      </w:r>
      <w:r w:rsidR="00900E13" w:rsidRPr="00900E13">
        <w:t xml:space="preserve"> </w:t>
      </w:r>
      <w:r w:rsidR="00900E13" w:rsidRPr="00900E13">
        <w:rPr>
          <w:lang w:eastAsia="ja-JP"/>
        </w:rPr>
        <w:t>Preliminary feedback from cross-checkers to proponents</w:t>
      </w:r>
    </w:p>
    <w:p w:rsidR="002C1E6C" w:rsidRPr="00900E13" w:rsidRDefault="002C1E6C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900E13">
        <w:t>2019-</w:t>
      </w:r>
      <w:r w:rsidR="007B2991">
        <w:t>10</w:t>
      </w:r>
      <w:r w:rsidRPr="00900E13">
        <w:t>-0</w:t>
      </w:r>
      <w:r w:rsidR="007B2991">
        <w:t>2</w:t>
      </w:r>
      <w:r w:rsidR="009D50A4">
        <w:t xml:space="preserve">: </w:t>
      </w:r>
      <w:r w:rsidRPr="00900E13">
        <w:t>MPEG document upload deadline</w:t>
      </w:r>
    </w:p>
    <w:p w:rsidR="002C1E6C" w:rsidRPr="002C1E6C" w:rsidRDefault="002C1E6C" w:rsidP="002C1E6C">
      <w:pPr>
        <w:rPr>
          <w:rFonts w:eastAsiaTheme="minorEastAsia"/>
          <w:highlight w:val="yellow"/>
          <w:lang w:val="en-GB" w:eastAsia="ja-JP"/>
        </w:rPr>
      </w:pPr>
    </w:p>
    <w:p w:rsidR="002C1E6C" w:rsidRPr="00232FB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232235">
        <w:rPr>
          <w:rFonts w:ascii="Times New Roman" w:hAnsi="Times New Roman"/>
        </w:rPr>
        <w:t>eferences</w:t>
      </w:r>
      <w:bookmarkStart w:id="3" w:name="_Ref504489577"/>
    </w:p>
    <w:p w:rsidR="005C02EB" w:rsidRPr="005C02EB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>“G-PCC Test Model 7”, ISO/IEC JTC1/SC29/WG11 MPEG2019 Doc. w18664, Goteborg, Sweden, July 2019</w:t>
      </w:r>
    </w:p>
    <w:p w:rsidR="005C02EB" w:rsidRPr="005C02EB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>“Common Test Conditions for PCC” ISO/IEC JTC1/SC29 WG11 MPEG201</w:t>
      </w:r>
      <w:r>
        <w:rPr>
          <w:rFonts w:ascii="Times New Roman" w:hAnsi="Times New Roman"/>
          <w:sz w:val="24"/>
          <w:szCs w:val="24"/>
        </w:rPr>
        <w:t>9</w:t>
      </w:r>
      <w:r w:rsidRPr="005C02EB">
        <w:rPr>
          <w:rFonts w:ascii="Times New Roman" w:hAnsi="Times New Roman"/>
          <w:sz w:val="24"/>
          <w:szCs w:val="24"/>
        </w:rPr>
        <w:t>”, ISO/IEC JTC1/SC29/WG11 MPEG2019 Doc. w18665, Goteborg, Sweden, July 2019</w:t>
      </w:r>
    </w:p>
    <w:p w:rsidR="002C1E6C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C138D8">
        <w:rPr>
          <w:rFonts w:ascii="Times New Roman" w:hAnsi="Times New Roman"/>
          <w:sz w:val="24"/>
          <w:szCs w:val="24"/>
        </w:rPr>
        <w:t xml:space="preserve"> </w:t>
      </w:r>
      <w:r w:rsidR="002C1E6C" w:rsidRPr="00C138D8">
        <w:rPr>
          <w:rFonts w:ascii="Times New Roman" w:hAnsi="Times New Roman"/>
          <w:sz w:val="24"/>
          <w:szCs w:val="24"/>
        </w:rPr>
        <w:t>“</w:t>
      </w:r>
      <w:r w:rsidR="00C843C3" w:rsidRPr="00C843C3">
        <w:rPr>
          <w:rFonts w:ascii="Times New Roman" w:hAnsi="Times New Roman"/>
          <w:sz w:val="24"/>
          <w:szCs w:val="24"/>
        </w:rPr>
        <w:t>[G-PCC] CE13.15 Related on improved spatial scalable lifting</w:t>
      </w:r>
      <w:r w:rsidR="002C1E6C" w:rsidRPr="00C138D8">
        <w:rPr>
          <w:rFonts w:ascii="Times New Roman" w:hAnsi="Times New Roman"/>
          <w:sz w:val="24"/>
          <w:szCs w:val="24"/>
        </w:rPr>
        <w:t>”</w:t>
      </w:r>
      <w:r w:rsidR="00C843C3">
        <w:rPr>
          <w:rFonts w:ascii="Times New Roman" w:hAnsi="Times New Roman"/>
          <w:sz w:val="24"/>
          <w:szCs w:val="24"/>
        </w:rPr>
        <w:t>,</w:t>
      </w:r>
      <w:r w:rsidR="002C1E6C" w:rsidRPr="00C138D8">
        <w:rPr>
          <w:rFonts w:ascii="Times New Roman" w:hAnsi="Times New Roman"/>
          <w:sz w:val="24"/>
          <w:szCs w:val="24"/>
        </w:rPr>
        <w:t xml:space="preserve"> ISO/IEC JTC1/SC29 WG11 (MPEG) input document m</w:t>
      </w:r>
      <w:r w:rsidR="007E7014" w:rsidRPr="007E7014">
        <w:rPr>
          <w:rFonts w:ascii="Times New Roman" w:hAnsi="Times New Roman"/>
          <w:sz w:val="24"/>
          <w:szCs w:val="24"/>
        </w:rPr>
        <w:t>49044</w:t>
      </w:r>
      <w:r w:rsidR="002C1E6C" w:rsidRPr="00C138D8">
        <w:rPr>
          <w:rFonts w:ascii="Times New Roman" w:hAnsi="Times New Roman"/>
          <w:sz w:val="24"/>
          <w:szCs w:val="24"/>
        </w:rPr>
        <w:t xml:space="preserve">, </w:t>
      </w:r>
      <w:r w:rsidR="007E7014">
        <w:rPr>
          <w:rFonts w:ascii="Times New Roman" w:hAnsi="Times New Roman"/>
          <w:sz w:val="24"/>
          <w:szCs w:val="24"/>
        </w:rPr>
        <w:t>Goth</w:t>
      </w:r>
      <w:r w:rsidR="007261E3">
        <w:rPr>
          <w:rFonts w:ascii="Times New Roman" w:hAnsi="Times New Roman"/>
          <w:sz w:val="24"/>
          <w:szCs w:val="24"/>
        </w:rPr>
        <w:t>enburg</w:t>
      </w:r>
      <w:r w:rsidR="002C1E6C">
        <w:rPr>
          <w:rFonts w:ascii="Times New Roman" w:hAnsi="Times New Roman"/>
          <w:sz w:val="24"/>
          <w:szCs w:val="24"/>
        </w:rPr>
        <w:t xml:space="preserve">, </w:t>
      </w:r>
      <w:r w:rsidR="007261E3">
        <w:rPr>
          <w:rFonts w:ascii="Times New Roman" w:hAnsi="Times New Roman"/>
          <w:sz w:val="24"/>
          <w:szCs w:val="24"/>
        </w:rPr>
        <w:t>SE</w:t>
      </w:r>
      <w:r w:rsidR="002C1E6C">
        <w:rPr>
          <w:rFonts w:ascii="Times New Roman" w:hAnsi="Times New Roman"/>
          <w:sz w:val="24"/>
          <w:szCs w:val="24"/>
        </w:rPr>
        <w:t>,</w:t>
      </w:r>
      <w:r w:rsidR="002C1E6C" w:rsidRPr="00C138D8">
        <w:rPr>
          <w:rFonts w:ascii="Times New Roman" w:hAnsi="Times New Roman"/>
          <w:sz w:val="24"/>
          <w:szCs w:val="24"/>
        </w:rPr>
        <w:t xml:space="preserve"> </w:t>
      </w:r>
      <w:r w:rsidR="007261E3">
        <w:rPr>
          <w:rFonts w:ascii="Times New Roman" w:hAnsi="Times New Roman"/>
          <w:sz w:val="24"/>
          <w:szCs w:val="24"/>
        </w:rPr>
        <w:t>July</w:t>
      </w:r>
      <w:r w:rsidR="002C1E6C">
        <w:rPr>
          <w:rFonts w:ascii="Times New Roman" w:hAnsi="Times New Roman"/>
          <w:sz w:val="24"/>
          <w:szCs w:val="24"/>
        </w:rPr>
        <w:t xml:space="preserve"> </w:t>
      </w:r>
      <w:r w:rsidR="002C1E6C" w:rsidRPr="00C138D8">
        <w:rPr>
          <w:rFonts w:ascii="Times New Roman" w:hAnsi="Times New Roman"/>
          <w:sz w:val="24"/>
          <w:szCs w:val="24"/>
        </w:rPr>
        <w:t>201</w:t>
      </w:r>
      <w:r w:rsidR="002C1E6C">
        <w:rPr>
          <w:rFonts w:ascii="Times New Roman" w:hAnsi="Times New Roman"/>
          <w:sz w:val="24"/>
          <w:szCs w:val="24"/>
        </w:rPr>
        <w:t>9</w:t>
      </w:r>
    </w:p>
    <w:p w:rsidR="005C02EB" w:rsidRPr="005C02EB" w:rsidRDefault="005C02EB" w:rsidP="005C02EB">
      <w:pPr>
        <w:widowControl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bookmarkEnd w:id="3"/>
    <w:p w:rsidR="00960A19" w:rsidRPr="00BC5D44" w:rsidRDefault="00960A19" w:rsidP="002C1E6C">
      <w:pPr>
        <w:rPr>
          <w:lang w:val="en-CA" w:eastAsia="zh-CN"/>
        </w:rPr>
      </w:pPr>
    </w:p>
    <w:sectPr w:rsidR="00960A19" w:rsidRPr="00BC5D44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793" w:rsidRDefault="00DD3793" w:rsidP="00717E1B">
      <w:pPr>
        <w:spacing w:after="0" w:line="240" w:lineRule="auto"/>
      </w:pPr>
      <w:r>
        <w:separator/>
      </w:r>
    </w:p>
  </w:endnote>
  <w:endnote w:type="continuationSeparator" w:id="0">
    <w:p w:rsidR="00DD3793" w:rsidRDefault="00DD3793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793" w:rsidRDefault="00DD3793" w:rsidP="00717E1B">
      <w:pPr>
        <w:spacing w:after="0" w:line="240" w:lineRule="auto"/>
      </w:pPr>
      <w:r>
        <w:separator/>
      </w:r>
    </w:p>
  </w:footnote>
  <w:footnote w:type="continuationSeparator" w:id="0">
    <w:p w:rsidR="00DD3793" w:rsidRDefault="00DD3793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11"/>
  </w:num>
  <w:num w:numId="5">
    <w:abstractNumId w:val="24"/>
  </w:num>
  <w:num w:numId="6">
    <w:abstractNumId w:val="37"/>
  </w:num>
  <w:num w:numId="7">
    <w:abstractNumId w:val="27"/>
  </w:num>
  <w:num w:numId="8">
    <w:abstractNumId w:val="3"/>
  </w:num>
  <w:num w:numId="9">
    <w:abstractNumId w:val="7"/>
  </w:num>
  <w:num w:numId="10">
    <w:abstractNumId w:val="17"/>
  </w:num>
  <w:num w:numId="11">
    <w:abstractNumId w:val="28"/>
  </w:num>
  <w:num w:numId="12">
    <w:abstractNumId w:val="19"/>
  </w:num>
  <w:num w:numId="13">
    <w:abstractNumId w:val="0"/>
  </w:num>
  <w:num w:numId="14">
    <w:abstractNumId w:val="13"/>
  </w:num>
  <w:num w:numId="15">
    <w:abstractNumId w:val="34"/>
  </w:num>
  <w:num w:numId="16">
    <w:abstractNumId w:val="18"/>
  </w:num>
  <w:num w:numId="17">
    <w:abstractNumId w:val="12"/>
  </w:num>
  <w:num w:numId="18">
    <w:abstractNumId w:val="8"/>
  </w:num>
  <w:num w:numId="19">
    <w:abstractNumId w:val="5"/>
  </w:num>
  <w:num w:numId="20">
    <w:abstractNumId w:val="16"/>
  </w:num>
  <w:num w:numId="21">
    <w:abstractNumId w:val="23"/>
  </w:num>
  <w:num w:numId="22">
    <w:abstractNumId w:val="31"/>
  </w:num>
  <w:num w:numId="23">
    <w:abstractNumId w:val="20"/>
  </w:num>
  <w:num w:numId="24">
    <w:abstractNumId w:val="29"/>
  </w:num>
  <w:num w:numId="25">
    <w:abstractNumId w:val="32"/>
  </w:num>
  <w:num w:numId="26">
    <w:abstractNumId w:val="1"/>
  </w:num>
  <w:num w:numId="27">
    <w:abstractNumId w:val="21"/>
  </w:num>
  <w:num w:numId="28">
    <w:abstractNumId w:val="33"/>
  </w:num>
  <w:num w:numId="29">
    <w:abstractNumId w:val="25"/>
  </w:num>
  <w:num w:numId="30">
    <w:abstractNumId w:val="38"/>
  </w:num>
  <w:num w:numId="31">
    <w:abstractNumId w:val="35"/>
  </w:num>
  <w:num w:numId="32">
    <w:abstractNumId w:val="9"/>
  </w:num>
  <w:num w:numId="33">
    <w:abstractNumId w:val="4"/>
  </w:num>
  <w:num w:numId="34">
    <w:abstractNumId w:val="14"/>
  </w:num>
  <w:num w:numId="35">
    <w:abstractNumId w:val="6"/>
  </w:num>
  <w:num w:numId="36">
    <w:abstractNumId w:val="10"/>
  </w:num>
  <w:num w:numId="37">
    <w:abstractNumId w:val="22"/>
  </w:num>
  <w:num w:numId="38">
    <w:abstractNumId w:val="26"/>
  </w:num>
  <w:num w:numId="3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05EAD"/>
    <w:rsid w:val="00006E8A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D6CFB"/>
    <w:rsid w:val="000E0A7B"/>
    <w:rsid w:val="000E6AA6"/>
    <w:rsid w:val="00104DD9"/>
    <w:rsid w:val="00124211"/>
    <w:rsid w:val="00125F4E"/>
    <w:rsid w:val="001302B6"/>
    <w:rsid w:val="0013302C"/>
    <w:rsid w:val="001347D5"/>
    <w:rsid w:val="001409AC"/>
    <w:rsid w:val="00146509"/>
    <w:rsid w:val="00150931"/>
    <w:rsid w:val="00155820"/>
    <w:rsid w:val="00160D82"/>
    <w:rsid w:val="00166BEA"/>
    <w:rsid w:val="001676B9"/>
    <w:rsid w:val="00171211"/>
    <w:rsid w:val="0017476B"/>
    <w:rsid w:val="00184896"/>
    <w:rsid w:val="00187F79"/>
    <w:rsid w:val="001920B7"/>
    <w:rsid w:val="00192C30"/>
    <w:rsid w:val="001A13E2"/>
    <w:rsid w:val="001A60D5"/>
    <w:rsid w:val="001A77B5"/>
    <w:rsid w:val="001C122D"/>
    <w:rsid w:val="001C2B74"/>
    <w:rsid w:val="001C4CCD"/>
    <w:rsid w:val="001D56A9"/>
    <w:rsid w:val="001E049C"/>
    <w:rsid w:val="001E4B8A"/>
    <w:rsid w:val="001E6EEC"/>
    <w:rsid w:val="001F3C5D"/>
    <w:rsid w:val="001F5263"/>
    <w:rsid w:val="00221F51"/>
    <w:rsid w:val="00232909"/>
    <w:rsid w:val="00234F73"/>
    <w:rsid w:val="0023777F"/>
    <w:rsid w:val="00262DE7"/>
    <w:rsid w:val="00270A90"/>
    <w:rsid w:val="00272D6B"/>
    <w:rsid w:val="002739A4"/>
    <w:rsid w:val="00281893"/>
    <w:rsid w:val="002869A6"/>
    <w:rsid w:val="00286C15"/>
    <w:rsid w:val="0028710D"/>
    <w:rsid w:val="002A6BFB"/>
    <w:rsid w:val="002B2FD2"/>
    <w:rsid w:val="002C1E6C"/>
    <w:rsid w:val="002C32B6"/>
    <w:rsid w:val="002C7F0F"/>
    <w:rsid w:val="002D5BA5"/>
    <w:rsid w:val="002D7993"/>
    <w:rsid w:val="002E02B6"/>
    <w:rsid w:val="002F5B51"/>
    <w:rsid w:val="002F67BE"/>
    <w:rsid w:val="003022CA"/>
    <w:rsid w:val="0030631B"/>
    <w:rsid w:val="00310E84"/>
    <w:rsid w:val="00317A4B"/>
    <w:rsid w:val="003255C0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4E75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5607B"/>
    <w:rsid w:val="00462D9A"/>
    <w:rsid w:val="0046449E"/>
    <w:rsid w:val="00467971"/>
    <w:rsid w:val="0047210E"/>
    <w:rsid w:val="00494821"/>
    <w:rsid w:val="004A44EF"/>
    <w:rsid w:val="004A5585"/>
    <w:rsid w:val="004A5B21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31C5A"/>
    <w:rsid w:val="00536B4F"/>
    <w:rsid w:val="00540A06"/>
    <w:rsid w:val="0054391B"/>
    <w:rsid w:val="005565BE"/>
    <w:rsid w:val="00557EDB"/>
    <w:rsid w:val="00573821"/>
    <w:rsid w:val="00574298"/>
    <w:rsid w:val="005769BD"/>
    <w:rsid w:val="00580C07"/>
    <w:rsid w:val="00585F50"/>
    <w:rsid w:val="005A05C0"/>
    <w:rsid w:val="005A1575"/>
    <w:rsid w:val="005A2449"/>
    <w:rsid w:val="005B0DB3"/>
    <w:rsid w:val="005B7CBC"/>
    <w:rsid w:val="005C02EB"/>
    <w:rsid w:val="005C2A20"/>
    <w:rsid w:val="005C42D8"/>
    <w:rsid w:val="005D041E"/>
    <w:rsid w:val="005D1A6F"/>
    <w:rsid w:val="005D561E"/>
    <w:rsid w:val="005E1400"/>
    <w:rsid w:val="0060019F"/>
    <w:rsid w:val="006055AC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65624"/>
    <w:rsid w:val="00671346"/>
    <w:rsid w:val="00685762"/>
    <w:rsid w:val="00686EE6"/>
    <w:rsid w:val="00695CDB"/>
    <w:rsid w:val="006A019E"/>
    <w:rsid w:val="006B2D08"/>
    <w:rsid w:val="006D4315"/>
    <w:rsid w:val="006D5C63"/>
    <w:rsid w:val="006E01B1"/>
    <w:rsid w:val="006E2AB0"/>
    <w:rsid w:val="006E2D0D"/>
    <w:rsid w:val="006E3EF3"/>
    <w:rsid w:val="006F0785"/>
    <w:rsid w:val="006F40EB"/>
    <w:rsid w:val="00714782"/>
    <w:rsid w:val="00715DF2"/>
    <w:rsid w:val="00717E1B"/>
    <w:rsid w:val="007212F6"/>
    <w:rsid w:val="007261E3"/>
    <w:rsid w:val="00727E5A"/>
    <w:rsid w:val="007320EA"/>
    <w:rsid w:val="00734562"/>
    <w:rsid w:val="0074220F"/>
    <w:rsid w:val="0075574B"/>
    <w:rsid w:val="00767991"/>
    <w:rsid w:val="00770292"/>
    <w:rsid w:val="00776A10"/>
    <w:rsid w:val="00784CC6"/>
    <w:rsid w:val="007B2991"/>
    <w:rsid w:val="007B7543"/>
    <w:rsid w:val="007C2FE6"/>
    <w:rsid w:val="007D2BD6"/>
    <w:rsid w:val="007E1CAC"/>
    <w:rsid w:val="007E4601"/>
    <w:rsid w:val="007E7014"/>
    <w:rsid w:val="007F2E7F"/>
    <w:rsid w:val="007F3FEE"/>
    <w:rsid w:val="007F5148"/>
    <w:rsid w:val="007F6CFB"/>
    <w:rsid w:val="007F7901"/>
    <w:rsid w:val="008047EF"/>
    <w:rsid w:val="00805F0B"/>
    <w:rsid w:val="00813221"/>
    <w:rsid w:val="0081555E"/>
    <w:rsid w:val="008177EE"/>
    <w:rsid w:val="008312FD"/>
    <w:rsid w:val="00835B8E"/>
    <w:rsid w:val="008362E7"/>
    <w:rsid w:val="00842F2B"/>
    <w:rsid w:val="008559F7"/>
    <w:rsid w:val="00856680"/>
    <w:rsid w:val="0085720B"/>
    <w:rsid w:val="0086455B"/>
    <w:rsid w:val="00865788"/>
    <w:rsid w:val="00867EA7"/>
    <w:rsid w:val="008718C2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381A"/>
    <w:rsid w:val="009264CB"/>
    <w:rsid w:val="00930EF2"/>
    <w:rsid w:val="009315F3"/>
    <w:rsid w:val="009331E1"/>
    <w:rsid w:val="00933C9F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A0C58"/>
    <w:rsid w:val="009B7467"/>
    <w:rsid w:val="009C2439"/>
    <w:rsid w:val="009C3B82"/>
    <w:rsid w:val="009D0066"/>
    <w:rsid w:val="009D2F2A"/>
    <w:rsid w:val="009D50A4"/>
    <w:rsid w:val="009D67CD"/>
    <w:rsid w:val="009E5C91"/>
    <w:rsid w:val="009F559E"/>
    <w:rsid w:val="009F6FBD"/>
    <w:rsid w:val="00A01C6A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603A7"/>
    <w:rsid w:val="00A73951"/>
    <w:rsid w:val="00A84784"/>
    <w:rsid w:val="00A877C5"/>
    <w:rsid w:val="00A9007A"/>
    <w:rsid w:val="00A948E4"/>
    <w:rsid w:val="00A97C60"/>
    <w:rsid w:val="00AA3089"/>
    <w:rsid w:val="00AA7246"/>
    <w:rsid w:val="00AB0A71"/>
    <w:rsid w:val="00AB1E3F"/>
    <w:rsid w:val="00AB2FC7"/>
    <w:rsid w:val="00AD3156"/>
    <w:rsid w:val="00AE05B1"/>
    <w:rsid w:val="00AE175E"/>
    <w:rsid w:val="00AE5BF6"/>
    <w:rsid w:val="00AE7428"/>
    <w:rsid w:val="00B12E14"/>
    <w:rsid w:val="00B17C2B"/>
    <w:rsid w:val="00B21FC6"/>
    <w:rsid w:val="00B22D13"/>
    <w:rsid w:val="00B23FB9"/>
    <w:rsid w:val="00B45CC1"/>
    <w:rsid w:val="00B514B8"/>
    <w:rsid w:val="00B62CD2"/>
    <w:rsid w:val="00B66D07"/>
    <w:rsid w:val="00B72387"/>
    <w:rsid w:val="00B957D5"/>
    <w:rsid w:val="00B961C7"/>
    <w:rsid w:val="00BB53D3"/>
    <w:rsid w:val="00BC5D44"/>
    <w:rsid w:val="00BC680C"/>
    <w:rsid w:val="00BD1631"/>
    <w:rsid w:val="00BD4E34"/>
    <w:rsid w:val="00BD5142"/>
    <w:rsid w:val="00BD6CEF"/>
    <w:rsid w:val="00BF6ED6"/>
    <w:rsid w:val="00C00891"/>
    <w:rsid w:val="00C008DC"/>
    <w:rsid w:val="00C00A61"/>
    <w:rsid w:val="00C10A59"/>
    <w:rsid w:val="00C117CF"/>
    <w:rsid w:val="00C12214"/>
    <w:rsid w:val="00C4069E"/>
    <w:rsid w:val="00C433F5"/>
    <w:rsid w:val="00C5063F"/>
    <w:rsid w:val="00C530BD"/>
    <w:rsid w:val="00C54294"/>
    <w:rsid w:val="00C61F73"/>
    <w:rsid w:val="00C666E8"/>
    <w:rsid w:val="00C81B9E"/>
    <w:rsid w:val="00C843C3"/>
    <w:rsid w:val="00C930D9"/>
    <w:rsid w:val="00CA1BC4"/>
    <w:rsid w:val="00CA66EB"/>
    <w:rsid w:val="00CA72EC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4F5A"/>
    <w:rsid w:val="00D15E90"/>
    <w:rsid w:val="00D15EFB"/>
    <w:rsid w:val="00D20036"/>
    <w:rsid w:val="00D22C70"/>
    <w:rsid w:val="00D244F1"/>
    <w:rsid w:val="00D337C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7747"/>
    <w:rsid w:val="00DD00EE"/>
    <w:rsid w:val="00DD3793"/>
    <w:rsid w:val="00DE2AE1"/>
    <w:rsid w:val="00DE55A1"/>
    <w:rsid w:val="00DE663F"/>
    <w:rsid w:val="00E06288"/>
    <w:rsid w:val="00E07DA9"/>
    <w:rsid w:val="00E13689"/>
    <w:rsid w:val="00E4182D"/>
    <w:rsid w:val="00E41EDE"/>
    <w:rsid w:val="00E44084"/>
    <w:rsid w:val="00E4493F"/>
    <w:rsid w:val="00E547DE"/>
    <w:rsid w:val="00E80587"/>
    <w:rsid w:val="00E82434"/>
    <w:rsid w:val="00E90211"/>
    <w:rsid w:val="00E92D08"/>
    <w:rsid w:val="00E92D8D"/>
    <w:rsid w:val="00EA05B9"/>
    <w:rsid w:val="00EA083B"/>
    <w:rsid w:val="00EA5591"/>
    <w:rsid w:val="00EB3086"/>
    <w:rsid w:val="00EB657A"/>
    <w:rsid w:val="00EE7A50"/>
    <w:rsid w:val="00EF0CB1"/>
    <w:rsid w:val="00EF2BBA"/>
    <w:rsid w:val="00EF5675"/>
    <w:rsid w:val="00F00D66"/>
    <w:rsid w:val="00F017EB"/>
    <w:rsid w:val="00F06FB8"/>
    <w:rsid w:val="00F21C51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1A0D"/>
    <w:rsid w:val="00FA2BA0"/>
    <w:rsid w:val="00FC4116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01EC9E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72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DF76F-35FC-47CA-90CF-C70B6B3C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30</TotalTime>
  <Pages>4</Pages>
  <Words>517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Kuma, Satoru (Sony)</cp:lastModifiedBy>
  <cp:revision>34</cp:revision>
  <dcterms:created xsi:type="dcterms:W3CDTF">2019-07-17T09:22:00Z</dcterms:created>
  <dcterms:modified xsi:type="dcterms:W3CDTF">2019-07-30T07:28:00Z</dcterms:modified>
</cp:coreProperties>
</file>